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BE09" w14:textId="73716DE7" w:rsidR="00443126" w:rsidRPr="00C36C7B" w:rsidRDefault="00313BDD" w:rsidP="00443126">
      <w:pPr>
        <w:rPr>
          <w:rFonts w:cstheme="minorHAnsi"/>
          <w:b/>
        </w:rPr>
      </w:pPr>
      <w:r>
        <w:rPr>
          <w:rFonts w:cstheme="minorHAnsi"/>
          <w:b/>
          <w:noProof/>
          <w:lang w:eastAsia="en-GB"/>
        </w:rPr>
        <mc:AlternateContent>
          <mc:Choice Requires="wps">
            <w:drawing>
              <wp:anchor distT="0" distB="0" distL="114300" distR="114300" simplePos="0" relativeHeight="251677696" behindDoc="1" locked="0" layoutInCell="1" allowOverlap="1" wp14:anchorId="4C28700F" wp14:editId="19D76314">
                <wp:simplePos x="0" y="0"/>
                <wp:positionH relativeFrom="margin">
                  <wp:align>center</wp:align>
                </wp:positionH>
                <wp:positionV relativeFrom="paragraph">
                  <wp:posOffset>-1061085</wp:posOffset>
                </wp:positionV>
                <wp:extent cx="7676515" cy="9016409"/>
                <wp:effectExtent l="76200" t="57150" r="76835" b="89535"/>
                <wp:wrapNone/>
                <wp:docPr id="291" name="Rectangle 291"/>
                <wp:cNvGraphicFramePr/>
                <a:graphic xmlns:a="http://schemas.openxmlformats.org/drawingml/2006/main">
                  <a:graphicData uri="http://schemas.microsoft.com/office/word/2010/wordprocessingShape">
                    <wps:wsp>
                      <wps:cNvSpPr/>
                      <wps:spPr>
                        <a:xfrm>
                          <a:off x="0" y="0"/>
                          <a:ext cx="7676515" cy="9016409"/>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EF19C" id="Rectangle 291" o:spid="_x0000_s1026" style="position:absolute;margin-left:0;margin-top:-83.55pt;width:604.45pt;height:709.9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" fillcolor="#9bbb59 [3206]" strokecolor="white [3201]" strokeweight="3pt">
                <v:shadow on="t" color="black" opacity="24903f" origin=",.5" offset="0,.55556mm"/>
                <w10:wrap anchorx="margin"/>
              </v:rect>
            </w:pict>
          </mc:Fallback>
        </mc:AlternateContent>
      </w:r>
      <w:r>
        <w:rPr>
          <w:rFonts w:cstheme="minorHAnsi"/>
          <w:b/>
          <w:noProof/>
        </w:rPr>
        <w:t xml:space="preserve"> </w:t>
      </w:r>
    </w:p>
    <w:p w14:paraId="296C24F4" w14:textId="77777777" w:rsidR="00443126" w:rsidRPr="00313BDD" w:rsidRDefault="00443126" w:rsidP="00313BDD">
      <w:pPr>
        <w:rPr>
          <w:rFonts w:ascii="Segoe UI" w:hAnsi="Segoe UI" w:cs="Segoe UI"/>
          <w:color w:val="FFFFFF" w:themeColor="background1"/>
          <w:sz w:val="56"/>
          <w:szCs w:val="28"/>
        </w:rPr>
      </w:pPr>
      <w:r w:rsidRPr="00313BDD">
        <w:rPr>
          <w:rFonts w:ascii="Segoe UI" w:hAnsi="Segoe UI" w:cs="Segoe UI"/>
          <w:color w:val="FFFFFF" w:themeColor="background1"/>
          <w:sz w:val="56"/>
          <w:szCs w:val="28"/>
        </w:rPr>
        <w:t>Central Lancashire Local Plan</w:t>
      </w:r>
    </w:p>
    <w:p w14:paraId="297CC810" w14:textId="77777777" w:rsidR="00C7383A" w:rsidRDefault="00C7383A" w:rsidP="00313BDD">
      <w:pPr>
        <w:rPr>
          <w:rFonts w:ascii="Segoe UI" w:hAnsi="Segoe UI" w:cs="Segoe UI"/>
          <w:b/>
          <w:color w:val="FFFFFF" w:themeColor="background1"/>
          <w:sz w:val="72"/>
          <w:szCs w:val="72"/>
        </w:rPr>
      </w:pPr>
    </w:p>
    <w:p w14:paraId="1CCBF29B" w14:textId="10889A69" w:rsidR="00443126" w:rsidRPr="00C7383A" w:rsidRDefault="00EE2FE1" w:rsidP="00313BDD">
      <w:pPr>
        <w:rPr>
          <w:rFonts w:ascii="Segoe UI" w:hAnsi="Segoe UI" w:cs="Segoe UI"/>
          <w:b/>
          <w:color w:val="FFFFFF" w:themeColor="background1"/>
          <w:sz w:val="60"/>
          <w:szCs w:val="60"/>
        </w:rPr>
      </w:pPr>
      <w:r>
        <w:rPr>
          <w:rFonts w:ascii="Segoe UI" w:hAnsi="Segoe UI" w:cs="Segoe UI"/>
          <w:b/>
          <w:color w:val="FFFFFF" w:themeColor="background1"/>
          <w:sz w:val="60"/>
          <w:szCs w:val="60"/>
        </w:rPr>
        <w:t xml:space="preserve">DRAFT </w:t>
      </w:r>
      <w:r w:rsidR="006F3EEA">
        <w:rPr>
          <w:rFonts w:ascii="Segoe UI" w:hAnsi="Segoe UI" w:cs="Segoe UI"/>
          <w:b/>
          <w:color w:val="FFFFFF" w:themeColor="background1"/>
          <w:sz w:val="60"/>
          <w:szCs w:val="60"/>
        </w:rPr>
        <w:t>Me</w:t>
      </w:r>
      <w:r w:rsidR="00126F33" w:rsidRPr="00C7383A">
        <w:rPr>
          <w:rFonts w:ascii="Segoe UI" w:hAnsi="Segoe UI" w:cs="Segoe UI"/>
          <w:b/>
          <w:color w:val="FFFFFF" w:themeColor="background1"/>
          <w:sz w:val="60"/>
          <w:szCs w:val="60"/>
        </w:rPr>
        <w:t>morandum of Understanding</w:t>
      </w:r>
      <w:r w:rsidR="00555FFE">
        <w:rPr>
          <w:rFonts w:ascii="Segoe UI" w:hAnsi="Segoe UI" w:cs="Segoe UI"/>
          <w:b/>
          <w:color w:val="FFFFFF" w:themeColor="background1"/>
          <w:sz w:val="60"/>
          <w:szCs w:val="60"/>
        </w:rPr>
        <w:t xml:space="preserve"> and Statement of Co-Operation</w:t>
      </w:r>
      <w:r w:rsidR="00126F33" w:rsidRPr="00C7383A">
        <w:rPr>
          <w:rFonts w:ascii="Segoe UI" w:hAnsi="Segoe UI" w:cs="Segoe UI"/>
          <w:b/>
          <w:color w:val="FFFFFF" w:themeColor="background1"/>
          <w:sz w:val="60"/>
          <w:szCs w:val="60"/>
        </w:rPr>
        <w:t>:</w:t>
      </w:r>
    </w:p>
    <w:p w14:paraId="59F4BF20" w14:textId="6C4FFBA9" w:rsidR="00126F33" w:rsidRPr="00126F33" w:rsidRDefault="00126F33" w:rsidP="00313BDD">
      <w:pPr>
        <w:rPr>
          <w:rFonts w:ascii="Segoe UI" w:hAnsi="Segoe UI" w:cs="Segoe UI"/>
          <w:color w:val="FFFFFF" w:themeColor="background1"/>
          <w:sz w:val="48"/>
          <w:szCs w:val="48"/>
        </w:rPr>
      </w:pPr>
      <w:r w:rsidRPr="00126F33">
        <w:rPr>
          <w:rFonts w:ascii="Segoe UI" w:hAnsi="Segoe UI" w:cs="Segoe UI"/>
          <w:color w:val="FFFFFF" w:themeColor="background1"/>
          <w:sz w:val="48"/>
          <w:szCs w:val="48"/>
        </w:rPr>
        <w:t xml:space="preserve">Relating to the Provision </w:t>
      </w:r>
      <w:r w:rsidR="0056231F">
        <w:rPr>
          <w:rFonts w:ascii="Segoe UI" w:hAnsi="Segoe UI" w:cs="Segoe UI"/>
          <w:color w:val="FFFFFF" w:themeColor="background1"/>
          <w:sz w:val="48"/>
          <w:szCs w:val="48"/>
        </w:rPr>
        <w:t xml:space="preserve">and Distribution </w:t>
      </w:r>
      <w:r w:rsidRPr="00126F33">
        <w:rPr>
          <w:rFonts w:ascii="Segoe UI" w:hAnsi="Segoe UI" w:cs="Segoe UI"/>
          <w:color w:val="FFFFFF" w:themeColor="background1"/>
          <w:sz w:val="48"/>
          <w:szCs w:val="48"/>
        </w:rPr>
        <w:t>of Housing Land</w:t>
      </w:r>
    </w:p>
    <w:p w14:paraId="4F5F5FEF" w14:textId="359BF9A2" w:rsidR="00126F33" w:rsidRDefault="00126F33" w:rsidP="00126F33">
      <w:pPr>
        <w:rPr>
          <w:rFonts w:ascii="Segoe UI" w:hAnsi="Segoe UI" w:cs="Segoe UI"/>
          <w:color w:val="FFFFFF" w:themeColor="background1"/>
          <w:sz w:val="56"/>
          <w:szCs w:val="28"/>
        </w:rPr>
      </w:pPr>
    </w:p>
    <w:p w14:paraId="1DAAC358" w14:textId="0FCC48F0" w:rsidR="00C7383A" w:rsidRDefault="00342EB6" w:rsidP="00126F33">
      <w:pPr>
        <w:rPr>
          <w:rFonts w:ascii="Segoe UI" w:hAnsi="Segoe UI" w:cs="Segoe UI"/>
          <w:color w:val="FFFFFF" w:themeColor="background1"/>
          <w:sz w:val="56"/>
          <w:szCs w:val="28"/>
        </w:rPr>
      </w:pPr>
      <w:r>
        <w:rPr>
          <w:rFonts w:ascii="Segoe UI" w:hAnsi="Segoe UI" w:cs="Segoe UI"/>
          <w:color w:val="FFFFFF" w:themeColor="background1"/>
          <w:sz w:val="56"/>
          <w:szCs w:val="28"/>
        </w:rPr>
        <w:t>Decem</w:t>
      </w:r>
      <w:r w:rsidR="0056231F">
        <w:rPr>
          <w:rFonts w:ascii="Segoe UI" w:hAnsi="Segoe UI" w:cs="Segoe UI"/>
          <w:color w:val="FFFFFF" w:themeColor="background1"/>
          <w:sz w:val="56"/>
          <w:szCs w:val="28"/>
        </w:rPr>
        <w:t>ber</w:t>
      </w:r>
      <w:r w:rsidR="0056231F" w:rsidRPr="00313BDD">
        <w:rPr>
          <w:rFonts w:ascii="Segoe UI" w:hAnsi="Segoe UI" w:cs="Segoe UI"/>
          <w:color w:val="FFFFFF" w:themeColor="background1"/>
          <w:sz w:val="56"/>
          <w:szCs w:val="28"/>
        </w:rPr>
        <w:t xml:space="preserve"> 2019</w:t>
      </w:r>
    </w:p>
    <w:p w14:paraId="716B1973" w14:textId="77777777" w:rsidR="00E4537E" w:rsidRPr="00E4537E" w:rsidRDefault="00E4537E" w:rsidP="00126F33">
      <w:pPr>
        <w:rPr>
          <w:rFonts w:ascii="Segoe UI" w:hAnsi="Segoe UI" w:cs="Segoe UI"/>
          <w:color w:val="FFFFFF" w:themeColor="background1"/>
          <w:sz w:val="32"/>
          <w:szCs w:val="32"/>
        </w:rPr>
      </w:pPr>
    </w:p>
    <w:p w14:paraId="2B482C3A" w14:textId="77777777" w:rsidR="00126F33" w:rsidRDefault="00126F33" w:rsidP="00126F33">
      <w:pPr>
        <w:rPr>
          <w:rFonts w:ascii="Segoe UI" w:hAnsi="Segoe UI" w:cs="Segoe UI"/>
          <w:color w:val="FFFFFF" w:themeColor="background1"/>
          <w:sz w:val="56"/>
          <w:szCs w:val="28"/>
        </w:rPr>
      </w:pPr>
    </w:p>
    <w:p w14:paraId="0AD572C2" w14:textId="77777777" w:rsidR="00126F33" w:rsidRDefault="00126F33" w:rsidP="00126F33">
      <w:pPr>
        <w:rPr>
          <w:rFonts w:ascii="Segoe UI" w:hAnsi="Segoe UI" w:cs="Segoe UI"/>
          <w:color w:val="FFFFFF" w:themeColor="background1"/>
          <w:sz w:val="56"/>
          <w:szCs w:val="28"/>
        </w:rPr>
      </w:pPr>
    </w:p>
    <w:p w14:paraId="50EF3A3A" w14:textId="3195DEA8" w:rsidR="00126F33" w:rsidRDefault="00126F33" w:rsidP="00126F33">
      <w:pPr>
        <w:rPr>
          <w:rFonts w:ascii="Segoe UI" w:hAnsi="Segoe UI" w:cs="Segoe UI"/>
          <w:color w:val="FFFFFF" w:themeColor="background1"/>
          <w:sz w:val="56"/>
          <w:szCs w:val="28"/>
        </w:rPr>
      </w:pPr>
    </w:p>
    <w:p w14:paraId="253039DD" w14:textId="77777777" w:rsidR="00C7383A" w:rsidRDefault="00126F33" w:rsidP="00C7383A">
      <w:pPr>
        <w:rPr>
          <w:rFonts w:ascii="Segoe UI" w:hAnsi="Segoe UI" w:cs="Segoe UI"/>
          <w:color w:val="FFFFFF" w:themeColor="background1"/>
          <w:sz w:val="56"/>
          <w:szCs w:val="28"/>
        </w:rPr>
      </w:pPr>
      <w:r>
        <w:rPr>
          <w:noProof/>
          <w:lang w:eastAsia="en-GB"/>
        </w:rPr>
        <w:drawing>
          <wp:anchor distT="0" distB="0" distL="114300" distR="114300" simplePos="0" relativeHeight="251678720" behindDoc="0" locked="0" layoutInCell="1" allowOverlap="1" wp14:anchorId="1245956B" wp14:editId="775FB6DE">
            <wp:simplePos x="0" y="0"/>
            <wp:positionH relativeFrom="margin">
              <wp:align>center</wp:align>
            </wp:positionH>
            <wp:positionV relativeFrom="paragraph">
              <wp:posOffset>385445</wp:posOffset>
            </wp:positionV>
            <wp:extent cx="7720550" cy="1088774"/>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20550" cy="1088774"/>
                    </a:xfrm>
                    <a:prstGeom prst="rect">
                      <a:avLst/>
                    </a:prstGeom>
                  </pic:spPr>
                </pic:pic>
              </a:graphicData>
            </a:graphic>
            <wp14:sizeRelH relativeFrom="page">
              <wp14:pctWidth>0</wp14:pctWidth>
            </wp14:sizeRelH>
            <wp14:sizeRelV relativeFrom="page">
              <wp14:pctHeight>0</wp14:pctHeight>
            </wp14:sizeRelV>
          </wp:anchor>
        </w:drawing>
      </w:r>
    </w:p>
    <w:p w14:paraId="7C06A8E0" w14:textId="46289F0A" w:rsidR="00126F33" w:rsidRPr="00C7383A" w:rsidRDefault="00126F33" w:rsidP="00C7383A">
      <w:pPr>
        <w:rPr>
          <w:rFonts w:ascii="Segoe UI" w:hAnsi="Segoe UI" w:cs="Segoe UI"/>
          <w:color w:val="FFFFFF" w:themeColor="background1"/>
          <w:sz w:val="56"/>
          <w:szCs w:val="28"/>
        </w:rPr>
      </w:pPr>
      <w:r w:rsidRPr="00126F33">
        <w:rPr>
          <w:rFonts w:ascii="Arial" w:hAnsi="Arial" w:cs="Arial"/>
          <w:b/>
          <w:sz w:val="28"/>
          <w:szCs w:val="28"/>
        </w:rPr>
        <w:t>Central Lancashire Strategic Housing Market</w:t>
      </w:r>
    </w:p>
    <w:p w14:paraId="449E3B34" w14:textId="1C530B9C" w:rsidR="00126F33" w:rsidRDefault="00677A31" w:rsidP="00677A31">
      <w:pPr>
        <w:jc w:val="both"/>
        <w:rPr>
          <w:rFonts w:ascii="Arial" w:hAnsi="Arial" w:cs="Arial"/>
          <w:b/>
          <w:sz w:val="28"/>
          <w:szCs w:val="28"/>
        </w:rPr>
      </w:pPr>
      <w:r>
        <w:rPr>
          <w:rFonts w:ascii="Arial" w:hAnsi="Arial" w:cs="Arial"/>
          <w:b/>
          <w:sz w:val="28"/>
          <w:szCs w:val="28"/>
        </w:rPr>
        <w:lastRenderedPageBreak/>
        <w:t xml:space="preserve">Joint Memorandum of Understanding &amp; Statement of Co-operation Relating to the Provision </w:t>
      </w:r>
      <w:r w:rsidR="009724C4">
        <w:rPr>
          <w:rFonts w:ascii="Arial" w:hAnsi="Arial" w:cs="Arial"/>
          <w:b/>
          <w:sz w:val="28"/>
          <w:szCs w:val="28"/>
        </w:rPr>
        <w:t xml:space="preserve">and Distribution </w:t>
      </w:r>
      <w:r>
        <w:rPr>
          <w:rFonts w:ascii="Arial" w:hAnsi="Arial" w:cs="Arial"/>
          <w:b/>
          <w:sz w:val="28"/>
          <w:szCs w:val="28"/>
        </w:rPr>
        <w:t>of Housing Land</w:t>
      </w:r>
    </w:p>
    <w:p w14:paraId="35F121C8" w14:textId="70AFA027" w:rsidR="00677A31" w:rsidRDefault="00EE2FE1" w:rsidP="00677A31">
      <w:pPr>
        <w:jc w:val="both"/>
        <w:rPr>
          <w:rFonts w:ascii="Arial" w:hAnsi="Arial" w:cs="Arial"/>
          <w:b/>
          <w:sz w:val="28"/>
          <w:szCs w:val="28"/>
        </w:rPr>
      </w:pPr>
      <w:r>
        <w:rPr>
          <w:rFonts w:ascii="Arial" w:hAnsi="Arial" w:cs="Arial"/>
          <w:b/>
          <w:sz w:val="28"/>
          <w:szCs w:val="28"/>
        </w:rPr>
        <w:t>Decem</w:t>
      </w:r>
      <w:r w:rsidR="00677A31">
        <w:rPr>
          <w:rFonts w:ascii="Arial" w:hAnsi="Arial" w:cs="Arial"/>
          <w:b/>
          <w:sz w:val="28"/>
          <w:szCs w:val="28"/>
        </w:rPr>
        <w:t>ber 2019</w:t>
      </w:r>
    </w:p>
    <w:p w14:paraId="02868227" w14:textId="77777777" w:rsidR="00677A31" w:rsidRDefault="00677A31" w:rsidP="00677A31">
      <w:pPr>
        <w:jc w:val="both"/>
        <w:rPr>
          <w:rFonts w:ascii="Arial" w:hAnsi="Arial" w:cs="Arial"/>
          <w:b/>
          <w:sz w:val="28"/>
          <w:szCs w:val="28"/>
        </w:rPr>
      </w:pPr>
    </w:p>
    <w:p w14:paraId="7EA9CA06" w14:textId="000608A6" w:rsidR="00677A31" w:rsidRDefault="00677A31" w:rsidP="00677A31">
      <w:pPr>
        <w:jc w:val="both"/>
        <w:rPr>
          <w:rFonts w:ascii="Arial" w:hAnsi="Arial" w:cs="Arial"/>
          <w:b/>
          <w:sz w:val="24"/>
          <w:szCs w:val="24"/>
        </w:rPr>
      </w:pPr>
      <w:r w:rsidRPr="00677A31">
        <w:rPr>
          <w:rFonts w:ascii="Arial" w:hAnsi="Arial" w:cs="Arial"/>
          <w:b/>
          <w:sz w:val="24"/>
          <w:szCs w:val="24"/>
        </w:rPr>
        <w:t>Parties to the Memorandum</w:t>
      </w:r>
    </w:p>
    <w:p w14:paraId="36736C87" w14:textId="5619EF5E" w:rsidR="00677A31" w:rsidRDefault="00677A31" w:rsidP="00677A31">
      <w:pPr>
        <w:jc w:val="both"/>
        <w:rPr>
          <w:rFonts w:ascii="Arial" w:hAnsi="Arial" w:cs="Arial"/>
          <w:sz w:val="24"/>
          <w:szCs w:val="24"/>
        </w:rPr>
      </w:pPr>
      <w:r>
        <w:rPr>
          <w:rFonts w:ascii="Arial" w:hAnsi="Arial" w:cs="Arial"/>
          <w:sz w:val="24"/>
          <w:szCs w:val="24"/>
        </w:rPr>
        <w:t>Preston City Council</w:t>
      </w:r>
    </w:p>
    <w:p w14:paraId="051744D3" w14:textId="06A69A2B" w:rsidR="00677A31" w:rsidRDefault="00677A31" w:rsidP="00677A31">
      <w:pPr>
        <w:jc w:val="both"/>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3C00D2DF" w14:textId="40751F57" w:rsidR="00677A31" w:rsidRDefault="00677A31" w:rsidP="00677A31">
      <w:pPr>
        <w:jc w:val="both"/>
        <w:rPr>
          <w:rFonts w:ascii="Arial" w:hAnsi="Arial" w:cs="Arial"/>
          <w:sz w:val="24"/>
          <w:szCs w:val="24"/>
        </w:rPr>
      </w:pPr>
      <w:r>
        <w:rPr>
          <w:rFonts w:ascii="Arial" w:hAnsi="Arial" w:cs="Arial"/>
          <w:sz w:val="24"/>
          <w:szCs w:val="24"/>
        </w:rPr>
        <w:t>Chorley Council</w:t>
      </w:r>
    </w:p>
    <w:p w14:paraId="38B934B0" w14:textId="77777777" w:rsidR="00521365" w:rsidRDefault="00521365" w:rsidP="00677A31">
      <w:pPr>
        <w:jc w:val="both"/>
        <w:rPr>
          <w:rFonts w:ascii="Arial" w:hAnsi="Arial" w:cs="Arial"/>
          <w:sz w:val="24"/>
          <w:szCs w:val="24"/>
        </w:rPr>
      </w:pPr>
    </w:p>
    <w:p w14:paraId="34271A68" w14:textId="619F3C0A" w:rsidR="00521365" w:rsidRDefault="00521365" w:rsidP="00677A31">
      <w:pPr>
        <w:jc w:val="both"/>
        <w:rPr>
          <w:rFonts w:ascii="Arial" w:hAnsi="Arial" w:cs="Arial"/>
          <w:sz w:val="24"/>
          <w:szCs w:val="24"/>
        </w:rPr>
      </w:pPr>
      <w:r>
        <w:rPr>
          <w:rFonts w:ascii="Arial" w:hAnsi="Arial" w:cs="Arial"/>
          <w:sz w:val="24"/>
          <w:szCs w:val="24"/>
        </w:rPr>
        <w:t>Signed on behalf of Preston City Council</w:t>
      </w:r>
    </w:p>
    <w:p w14:paraId="5B2CD2C8" w14:textId="2C71AB83" w:rsidR="00521365" w:rsidRPr="00453566" w:rsidRDefault="00B57879" w:rsidP="00677A31">
      <w:pPr>
        <w:jc w:val="both"/>
        <w:rPr>
          <w:rFonts w:ascii="Arial" w:hAnsi="Arial" w:cs="Arial"/>
          <w:b/>
          <w:sz w:val="24"/>
          <w:szCs w:val="24"/>
        </w:rPr>
      </w:pPr>
      <w:r>
        <w:rPr>
          <w:rFonts w:ascii="Arial" w:hAnsi="Arial" w:cs="Arial"/>
          <w:b/>
          <w:sz w:val="24"/>
          <w:szCs w:val="24"/>
        </w:rPr>
        <w:t>Chris Hayward (Director of Development)</w:t>
      </w:r>
    </w:p>
    <w:p w14:paraId="69B8E771" w14:textId="77777777" w:rsidR="00521365" w:rsidRDefault="00521365" w:rsidP="00677A31">
      <w:pPr>
        <w:jc w:val="both"/>
        <w:rPr>
          <w:rFonts w:ascii="Arial" w:hAnsi="Arial" w:cs="Arial"/>
          <w:sz w:val="24"/>
          <w:szCs w:val="24"/>
        </w:rPr>
      </w:pPr>
      <w:bookmarkStart w:id="0" w:name="_GoBack"/>
      <w:bookmarkEnd w:id="0"/>
    </w:p>
    <w:p w14:paraId="402E62D4" w14:textId="77777777" w:rsidR="0025768D" w:rsidRDefault="0025768D" w:rsidP="00677A31">
      <w:pPr>
        <w:jc w:val="both"/>
        <w:rPr>
          <w:rFonts w:ascii="Arial" w:hAnsi="Arial" w:cs="Arial"/>
          <w:sz w:val="24"/>
          <w:szCs w:val="24"/>
        </w:rPr>
      </w:pPr>
    </w:p>
    <w:p w14:paraId="4E92236D" w14:textId="77777777" w:rsidR="0025768D" w:rsidRDefault="0025768D" w:rsidP="00677A31">
      <w:pPr>
        <w:jc w:val="both"/>
        <w:rPr>
          <w:rFonts w:ascii="Arial" w:hAnsi="Arial" w:cs="Arial"/>
          <w:sz w:val="24"/>
          <w:szCs w:val="24"/>
        </w:rPr>
      </w:pPr>
    </w:p>
    <w:p w14:paraId="7593D9BA" w14:textId="669F01BF" w:rsidR="00521365" w:rsidRDefault="00521365" w:rsidP="00677A31">
      <w:pPr>
        <w:jc w:val="both"/>
        <w:rPr>
          <w:rFonts w:ascii="Arial" w:hAnsi="Arial" w:cs="Arial"/>
          <w:sz w:val="24"/>
          <w:szCs w:val="24"/>
        </w:rPr>
      </w:pPr>
      <w:r>
        <w:rPr>
          <w:rFonts w:ascii="Arial" w:hAnsi="Arial" w:cs="Arial"/>
          <w:sz w:val="24"/>
          <w:szCs w:val="24"/>
        </w:rPr>
        <w:t>Date:</w:t>
      </w:r>
    </w:p>
    <w:p w14:paraId="4414A231" w14:textId="77777777" w:rsidR="00521365" w:rsidRDefault="00521365" w:rsidP="00677A31">
      <w:pPr>
        <w:jc w:val="both"/>
        <w:rPr>
          <w:rFonts w:ascii="Arial" w:hAnsi="Arial" w:cs="Arial"/>
          <w:sz w:val="24"/>
          <w:szCs w:val="24"/>
        </w:rPr>
      </w:pPr>
    </w:p>
    <w:p w14:paraId="7D12F551" w14:textId="2D333B1D" w:rsidR="00521365" w:rsidRDefault="00521365" w:rsidP="00677A31">
      <w:pPr>
        <w:jc w:val="both"/>
        <w:rPr>
          <w:rFonts w:ascii="Arial" w:hAnsi="Arial" w:cs="Arial"/>
          <w:sz w:val="24"/>
          <w:szCs w:val="24"/>
        </w:rPr>
      </w:pPr>
      <w:r>
        <w:rPr>
          <w:rFonts w:ascii="Arial" w:hAnsi="Arial" w:cs="Arial"/>
          <w:sz w:val="24"/>
          <w:szCs w:val="24"/>
        </w:rPr>
        <w:t xml:space="preserve">Signed on behalf of 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5B5A2B12" w14:textId="5C482860" w:rsidR="00521365" w:rsidRPr="00453566" w:rsidRDefault="00B57879" w:rsidP="00677A31">
      <w:pPr>
        <w:jc w:val="both"/>
        <w:rPr>
          <w:rFonts w:ascii="Arial" w:hAnsi="Arial" w:cs="Arial"/>
          <w:b/>
          <w:sz w:val="24"/>
          <w:szCs w:val="24"/>
        </w:rPr>
      </w:pPr>
      <w:r>
        <w:rPr>
          <w:rFonts w:ascii="Arial" w:hAnsi="Arial" w:cs="Arial"/>
          <w:b/>
          <w:sz w:val="24"/>
          <w:szCs w:val="24"/>
        </w:rPr>
        <w:t>Jonathan Noad (</w:t>
      </w:r>
      <w:r w:rsidR="00C35517">
        <w:rPr>
          <w:rFonts w:ascii="Arial" w:hAnsi="Arial" w:cs="Arial"/>
          <w:b/>
          <w:sz w:val="24"/>
          <w:szCs w:val="24"/>
        </w:rPr>
        <w:t>Director of Planning and Property</w:t>
      </w:r>
      <w:r>
        <w:rPr>
          <w:rFonts w:ascii="Arial" w:hAnsi="Arial" w:cs="Arial"/>
          <w:b/>
          <w:sz w:val="24"/>
          <w:szCs w:val="24"/>
        </w:rPr>
        <w:t>)</w:t>
      </w:r>
    </w:p>
    <w:p w14:paraId="216F9EC1" w14:textId="77777777" w:rsidR="00521365" w:rsidRDefault="00521365" w:rsidP="00677A31">
      <w:pPr>
        <w:jc w:val="both"/>
        <w:rPr>
          <w:rFonts w:ascii="Arial" w:hAnsi="Arial" w:cs="Arial"/>
          <w:sz w:val="24"/>
          <w:szCs w:val="24"/>
        </w:rPr>
      </w:pPr>
    </w:p>
    <w:p w14:paraId="339DA714" w14:textId="77777777" w:rsidR="00521365" w:rsidRDefault="00521365" w:rsidP="00677A31">
      <w:pPr>
        <w:jc w:val="both"/>
        <w:rPr>
          <w:rFonts w:ascii="Arial" w:hAnsi="Arial" w:cs="Arial"/>
          <w:sz w:val="24"/>
          <w:szCs w:val="24"/>
        </w:rPr>
      </w:pPr>
    </w:p>
    <w:p w14:paraId="5765E037" w14:textId="77777777" w:rsidR="0025768D" w:rsidRDefault="0025768D" w:rsidP="00677A31">
      <w:pPr>
        <w:jc w:val="both"/>
        <w:rPr>
          <w:rFonts w:ascii="Arial" w:hAnsi="Arial" w:cs="Arial"/>
          <w:sz w:val="24"/>
          <w:szCs w:val="24"/>
        </w:rPr>
      </w:pPr>
    </w:p>
    <w:p w14:paraId="421F6B61" w14:textId="757BB527" w:rsidR="00521365" w:rsidRDefault="00521365" w:rsidP="00677A31">
      <w:pPr>
        <w:jc w:val="both"/>
        <w:rPr>
          <w:rFonts w:ascii="Arial" w:hAnsi="Arial" w:cs="Arial"/>
          <w:sz w:val="24"/>
          <w:szCs w:val="24"/>
        </w:rPr>
      </w:pPr>
      <w:r>
        <w:rPr>
          <w:rFonts w:ascii="Arial" w:hAnsi="Arial" w:cs="Arial"/>
          <w:sz w:val="24"/>
          <w:szCs w:val="24"/>
        </w:rPr>
        <w:t>Date:</w:t>
      </w:r>
    </w:p>
    <w:p w14:paraId="4A673C28" w14:textId="77777777" w:rsidR="00521365" w:rsidRDefault="00521365" w:rsidP="00677A31">
      <w:pPr>
        <w:jc w:val="both"/>
        <w:rPr>
          <w:rFonts w:ascii="Arial" w:hAnsi="Arial" w:cs="Arial"/>
          <w:sz w:val="24"/>
          <w:szCs w:val="24"/>
        </w:rPr>
      </w:pPr>
    </w:p>
    <w:p w14:paraId="25E18537" w14:textId="0B1A969F" w:rsidR="00521365" w:rsidRDefault="00521365" w:rsidP="00677A31">
      <w:pPr>
        <w:jc w:val="both"/>
        <w:rPr>
          <w:rFonts w:ascii="Arial" w:hAnsi="Arial" w:cs="Arial"/>
          <w:sz w:val="24"/>
          <w:szCs w:val="24"/>
        </w:rPr>
      </w:pPr>
      <w:r>
        <w:rPr>
          <w:rFonts w:ascii="Arial" w:hAnsi="Arial" w:cs="Arial"/>
          <w:sz w:val="24"/>
          <w:szCs w:val="24"/>
        </w:rPr>
        <w:t>Signed on behalf of Chorley Council</w:t>
      </w:r>
    </w:p>
    <w:p w14:paraId="57C0661F" w14:textId="58101135" w:rsidR="00521365" w:rsidRPr="00453566" w:rsidRDefault="00B57879" w:rsidP="00677A31">
      <w:pPr>
        <w:jc w:val="both"/>
        <w:rPr>
          <w:rFonts w:ascii="Arial" w:hAnsi="Arial" w:cs="Arial"/>
          <w:b/>
          <w:sz w:val="24"/>
          <w:szCs w:val="24"/>
        </w:rPr>
      </w:pPr>
      <w:r>
        <w:rPr>
          <w:rFonts w:ascii="Arial" w:hAnsi="Arial" w:cs="Arial"/>
          <w:b/>
          <w:sz w:val="24"/>
          <w:szCs w:val="24"/>
        </w:rPr>
        <w:t xml:space="preserve">Chris </w:t>
      </w:r>
      <w:proofErr w:type="spellStart"/>
      <w:r>
        <w:rPr>
          <w:rFonts w:ascii="Arial" w:hAnsi="Arial" w:cs="Arial"/>
          <w:b/>
          <w:sz w:val="24"/>
          <w:szCs w:val="24"/>
        </w:rPr>
        <w:t>Sinnott</w:t>
      </w:r>
      <w:proofErr w:type="spellEnd"/>
      <w:r>
        <w:rPr>
          <w:rFonts w:ascii="Arial" w:hAnsi="Arial" w:cs="Arial"/>
          <w:b/>
          <w:sz w:val="24"/>
          <w:szCs w:val="24"/>
        </w:rPr>
        <w:t xml:space="preserve"> ()</w:t>
      </w:r>
    </w:p>
    <w:p w14:paraId="1610FFB2" w14:textId="77777777" w:rsidR="00521365" w:rsidRDefault="00521365" w:rsidP="00677A31">
      <w:pPr>
        <w:jc w:val="both"/>
        <w:rPr>
          <w:rFonts w:ascii="Arial" w:hAnsi="Arial" w:cs="Arial"/>
          <w:sz w:val="24"/>
          <w:szCs w:val="24"/>
        </w:rPr>
      </w:pPr>
    </w:p>
    <w:p w14:paraId="7A579317" w14:textId="77777777" w:rsidR="0025768D" w:rsidRDefault="0025768D" w:rsidP="00677A31">
      <w:pPr>
        <w:jc w:val="both"/>
        <w:rPr>
          <w:rFonts w:ascii="Arial" w:hAnsi="Arial" w:cs="Arial"/>
          <w:sz w:val="24"/>
          <w:szCs w:val="24"/>
        </w:rPr>
      </w:pPr>
    </w:p>
    <w:p w14:paraId="49D1CEC9" w14:textId="77777777" w:rsidR="00521365" w:rsidRDefault="00521365" w:rsidP="00677A31">
      <w:pPr>
        <w:jc w:val="both"/>
        <w:rPr>
          <w:rFonts w:ascii="Arial" w:hAnsi="Arial" w:cs="Arial"/>
          <w:sz w:val="24"/>
          <w:szCs w:val="24"/>
        </w:rPr>
      </w:pPr>
    </w:p>
    <w:p w14:paraId="72375B15" w14:textId="1F6A0E9D" w:rsidR="00E25032" w:rsidRDefault="00521365" w:rsidP="00677A31">
      <w:pPr>
        <w:jc w:val="both"/>
        <w:rPr>
          <w:rFonts w:ascii="Arial" w:hAnsi="Arial" w:cs="Arial"/>
          <w:sz w:val="24"/>
          <w:szCs w:val="24"/>
        </w:rPr>
      </w:pPr>
      <w:r>
        <w:rPr>
          <w:rFonts w:ascii="Arial" w:hAnsi="Arial" w:cs="Arial"/>
          <w:sz w:val="24"/>
          <w:szCs w:val="24"/>
        </w:rPr>
        <w:t>Date:</w:t>
      </w:r>
    </w:p>
    <w:p w14:paraId="76B5FD5B" w14:textId="77777777" w:rsidR="00E4537E" w:rsidRDefault="00E4537E" w:rsidP="00677A31">
      <w:pPr>
        <w:jc w:val="both"/>
        <w:rPr>
          <w:rFonts w:ascii="Arial" w:hAnsi="Arial" w:cs="Arial"/>
          <w:sz w:val="24"/>
          <w:szCs w:val="24"/>
        </w:rPr>
      </w:pPr>
    </w:p>
    <w:p w14:paraId="69E30324" w14:textId="79F57DDD" w:rsidR="00521365" w:rsidRPr="00453566" w:rsidRDefault="00453566" w:rsidP="00453566">
      <w:pPr>
        <w:jc w:val="both"/>
        <w:rPr>
          <w:rFonts w:ascii="Arial" w:hAnsi="Arial" w:cs="Arial"/>
          <w:b/>
          <w:sz w:val="24"/>
          <w:szCs w:val="24"/>
        </w:rPr>
      </w:pPr>
      <w:r w:rsidRPr="00453566">
        <w:rPr>
          <w:rFonts w:ascii="Arial" w:hAnsi="Arial" w:cs="Arial"/>
          <w:b/>
          <w:sz w:val="24"/>
          <w:szCs w:val="24"/>
        </w:rPr>
        <w:lastRenderedPageBreak/>
        <w:t>1.</w:t>
      </w:r>
      <w:r w:rsidRPr="00453566">
        <w:rPr>
          <w:rFonts w:ascii="Arial" w:hAnsi="Arial" w:cs="Arial"/>
          <w:b/>
          <w:sz w:val="24"/>
          <w:szCs w:val="24"/>
        </w:rPr>
        <w:tab/>
        <w:t>Background</w:t>
      </w:r>
    </w:p>
    <w:p w14:paraId="7DB53B79" w14:textId="5FCE9106" w:rsidR="00453566" w:rsidRDefault="00453566" w:rsidP="00453566">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Central Lancashire is defined as the area covered by the following three Local Planning Authorities (‘the Council’s’):</w:t>
      </w:r>
    </w:p>
    <w:p w14:paraId="2E39E093" w14:textId="0A4DC388"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Preston City Council</w:t>
      </w:r>
    </w:p>
    <w:p w14:paraId="218C82E5" w14:textId="7DC355F6"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6452DFAB" w14:textId="1DC75824"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Chorley Council.</w:t>
      </w:r>
    </w:p>
    <w:p w14:paraId="038D2A7C" w14:textId="2875AD49" w:rsidR="00453566" w:rsidRDefault="00453566" w:rsidP="006F5BFD">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Council’s, together with Lancashire County C</w:t>
      </w:r>
      <w:r w:rsidR="006F5BFD">
        <w:rPr>
          <w:rFonts w:ascii="Arial" w:hAnsi="Arial" w:cs="Arial"/>
          <w:sz w:val="24"/>
          <w:szCs w:val="24"/>
        </w:rPr>
        <w:t>o</w:t>
      </w:r>
      <w:r>
        <w:rPr>
          <w:rFonts w:ascii="Arial" w:hAnsi="Arial" w:cs="Arial"/>
          <w:sz w:val="24"/>
          <w:szCs w:val="24"/>
        </w:rPr>
        <w:t>uncil</w:t>
      </w:r>
      <w:r w:rsidR="006F5BFD">
        <w:rPr>
          <w:rFonts w:ascii="Arial" w:hAnsi="Arial" w:cs="Arial"/>
          <w:sz w:val="24"/>
          <w:szCs w:val="24"/>
        </w:rPr>
        <w:t xml:space="preserve"> (which provides strategic planning functions in relation to highways, minerals and waste), have a history of joint working which reflects the compact nature of this part of Lancashire, focussed on the urban core. Joint working is formally constituted in a Joint Advisory Committee of the Councils, which was established in 2008.</w:t>
      </w:r>
    </w:p>
    <w:p w14:paraId="548A3462" w14:textId="37106080" w:rsidR="006F5BFD" w:rsidRDefault="006F5BFD" w:rsidP="006F5BFD">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Overall, the Councils cover an area of some 458km</w:t>
      </w:r>
      <w:r>
        <w:rPr>
          <w:rFonts w:ascii="Arial" w:hAnsi="Arial" w:cs="Arial"/>
          <w:sz w:val="24"/>
          <w:szCs w:val="24"/>
          <w:vertAlign w:val="superscript"/>
        </w:rPr>
        <w:t>2</w:t>
      </w:r>
      <w:r>
        <w:rPr>
          <w:rFonts w:ascii="Arial" w:hAnsi="Arial" w:cs="Arial"/>
          <w:sz w:val="24"/>
          <w:szCs w:val="24"/>
        </w:rPr>
        <w:t xml:space="preserve"> (177 square miles) with a combined population of 367,518. Importantly, in this context, the area functions as one integrated local economy and travel to work </w:t>
      </w:r>
      <w:r w:rsidR="00EF2DE6">
        <w:rPr>
          <w:rFonts w:ascii="Arial" w:hAnsi="Arial" w:cs="Arial"/>
          <w:sz w:val="24"/>
          <w:szCs w:val="24"/>
        </w:rPr>
        <w:t>area and</w:t>
      </w:r>
      <w:r>
        <w:rPr>
          <w:rFonts w:ascii="Arial" w:hAnsi="Arial" w:cs="Arial"/>
          <w:sz w:val="24"/>
          <w:szCs w:val="24"/>
        </w:rPr>
        <w:t xml:space="preserve"> is a single Housing Market Area. Containment levels approach 80% for travel to work and exceed 80% for housing moves when long distance moves are excluded.</w:t>
      </w:r>
    </w:p>
    <w:p w14:paraId="11167057" w14:textId="55355706" w:rsidR="006F5BFD" w:rsidRDefault="006F5BFD" w:rsidP="006F5BFD">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Journey times by rail from Preston to Leyland are 6 minutes and to Chorley 14 minutes. Rail journey times between Chorley and Leyland are 8 minutes. Both Chorley and Leyland are within 20 minutes journey time by road from Preston and 15 minutes between the two.</w:t>
      </w:r>
    </w:p>
    <w:p w14:paraId="089EF54E" w14:textId="77777777" w:rsidR="006F5BFD" w:rsidRDefault="006F5BFD" w:rsidP="00453566">
      <w:pPr>
        <w:jc w:val="both"/>
        <w:rPr>
          <w:rFonts w:ascii="Arial" w:hAnsi="Arial" w:cs="Arial"/>
          <w:sz w:val="24"/>
          <w:szCs w:val="24"/>
        </w:rPr>
      </w:pPr>
    </w:p>
    <w:p w14:paraId="7A586907" w14:textId="6D289225" w:rsidR="006F5BFD" w:rsidRPr="00E801BC" w:rsidRDefault="006F5BFD" w:rsidP="00453566">
      <w:pPr>
        <w:jc w:val="both"/>
        <w:rPr>
          <w:rFonts w:ascii="Arial" w:hAnsi="Arial" w:cs="Arial"/>
          <w:b/>
          <w:sz w:val="24"/>
          <w:szCs w:val="24"/>
        </w:rPr>
      </w:pPr>
      <w:r w:rsidRPr="00E801BC">
        <w:rPr>
          <w:rFonts w:ascii="Arial" w:hAnsi="Arial" w:cs="Arial"/>
          <w:b/>
          <w:sz w:val="24"/>
          <w:szCs w:val="24"/>
        </w:rPr>
        <w:t>2.</w:t>
      </w:r>
      <w:r w:rsidRPr="00E801BC">
        <w:rPr>
          <w:rFonts w:ascii="Arial" w:hAnsi="Arial" w:cs="Arial"/>
          <w:b/>
          <w:sz w:val="24"/>
          <w:szCs w:val="24"/>
        </w:rPr>
        <w:tab/>
      </w:r>
      <w:r w:rsidR="00950269" w:rsidRPr="00E801BC">
        <w:rPr>
          <w:rFonts w:ascii="Arial" w:hAnsi="Arial" w:cs="Arial"/>
          <w:b/>
          <w:sz w:val="24"/>
          <w:szCs w:val="24"/>
        </w:rPr>
        <w:t>The Current Development Plan</w:t>
      </w:r>
    </w:p>
    <w:p w14:paraId="25C5E9BE" w14:textId="5393D475" w:rsidR="00007515" w:rsidRDefault="00950269" w:rsidP="00007515">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07515">
        <w:rPr>
          <w:rFonts w:ascii="Arial" w:hAnsi="Arial" w:cs="Arial"/>
          <w:sz w:val="24"/>
          <w:szCs w:val="24"/>
        </w:rPr>
        <w:t>The history and depth of joint working by the Councils is reflected in the current development plan. The principal spatial plan is the Central Lancashire Core Strategy, adopted by the Councils in July 2012. The plan covers the administrative areas of all three Councils.</w:t>
      </w:r>
    </w:p>
    <w:p w14:paraId="1DF177F6" w14:textId="74426179" w:rsidR="00007515" w:rsidRDefault="00007515" w:rsidP="00007515">
      <w:pPr>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Beneath that plan are three individual Local Plans (or Site Allocation Plans), all adopted in July 2015, as well as Area Action Plans and Neighbourhood Plans (all listed in </w:t>
      </w:r>
      <w:r w:rsidRPr="00007515">
        <w:rPr>
          <w:rFonts w:ascii="Arial" w:hAnsi="Arial" w:cs="Arial"/>
          <w:b/>
          <w:sz w:val="24"/>
          <w:szCs w:val="24"/>
        </w:rPr>
        <w:t>Appendix 1</w:t>
      </w:r>
      <w:r>
        <w:rPr>
          <w:rFonts w:ascii="Arial" w:hAnsi="Arial" w:cs="Arial"/>
          <w:sz w:val="24"/>
          <w:szCs w:val="24"/>
        </w:rPr>
        <w:t>).</w:t>
      </w:r>
    </w:p>
    <w:p w14:paraId="31A25A37" w14:textId="4ED52C4B" w:rsidR="00007515" w:rsidRDefault="00007515" w:rsidP="00007515">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909BB">
        <w:rPr>
          <w:rFonts w:ascii="Arial" w:hAnsi="Arial" w:cs="Arial"/>
          <w:sz w:val="24"/>
          <w:szCs w:val="24"/>
        </w:rPr>
        <w:t>Central Lancashire Core Strategy Policies 1 and 4 are of particular relevance to the provision of housing land. Policy 1 sets out the overall spatial patter</w:t>
      </w:r>
      <w:r w:rsidR="00FA4EE4">
        <w:rPr>
          <w:rFonts w:ascii="Arial" w:hAnsi="Arial" w:cs="Arial"/>
          <w:sz w:val="24"/>
          <w:szCs w:val="24"/>
        </w:rPr>
        <w:t>n</w:t>
      </w:r>
      <w:r w:rsidR="00A909BB">
        <w:rPr>
          <w:rFonts w:ascii="Arial" w:hAnsi="Arial" w:cs="Arial"/>
          <w:sz w:val="24"/>
          <w:szCs w:val="24"/>
        </w:rPr>
        <w:t xml:space="preserve"> of development, being concerned with locating growth across Centre Lancashire. Policy 4 contains the housing requirements for each of the Councils:</w:t>
      </w:r>
    </w:p>
    <w:p w14:paraId="4CB03283" w14:textId="32374A66"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Preston:</w:t>
      </w:r>
      <w:r>
        <w:rPr>
          <w:rFonts w:ascii="Arial" w:hAnsi="Arial" w:cs="Arial"/>
          <w:sz w:val="24"/>
          <w:szCs w:val="24"/>
        </w:rPr>
        <w:tab/>
      </w:r>
      <w:r>
        <w:rPr>
          <w:rFonts w:ascii="Arial" w:hAnsi="Arial" w:cs="Arial"/>
          <w:sz w:val="24"/>
          <w:szCs w:val="24"/>
        </w:rPr>
        <w:tab/>
        <w:t>507 dwellings pa</w:t>
      </w:r>
    </w:p>
    <w:p w14:paraId="68A23FD1" w14:textId="056B73AD"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417 dwellings pa</w:t>
      </w:r>
    </w:p>
    <w:p w14:paraId="285FFCA1" w14:textId="643A78C0"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417 dwellings pa</w:t>
      </w:r>
    </w:p>
    <w:p w14:paraId="3CD99B98" w14:textId="372D3575" w:rsidR="00A909BB" w:rsidRPr="001B0F71" w:rsidRDefault="00A909BB" w:rsidP="001B0F71">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21606">
        <w:rPr>
          <w:rFonts w:ascii="Arial" w:hAnsi="Arial" w:cs="Arial"/>
          <w:b/>
          <w:sz w:val="24"/>
          <w:szCs w:val="24"/>
        </w:rPr>
        <w:t>Total:</w:t>
      </w:r>
      <w:r w:rsidRPr="00921606">
        <w:rPr>
          <w:rFonts w:ascii="Arial" w:hAnsi="Arial" w:cs="Arial"/>
          <w:b/>
          <w:sz w:val="24"/>
          <w:szCs w:val="24"/>
        </w:rPr>
        <w:tab/>
      </w:r>
      <w:r w:rsidRPr="00921606">
        <w:rPr>
          <w:rFonts w:ascii="Arial" w:hAnsi="Arial" w:cs="Arial"/>
          <w:b/>
          <w:sz w:val="24"/>
          <w:szCs w:val="24"/>
        </w:rPr>
        <w:tab/>
      </w:r>
      <w:r w:rsidRPr="00921606">
        <w:rPr>
          <w:rFonts w:ascii="Arial" w:hAnsi="Arial" w:cs="Arial"/>
          <w:b/>
          <w:sz w:val="24"/>
          <w:szCs w:val="24"/>
        </w:rPr>
        <w:tab/>
        <w:t>1,341 dwellings pa</w:t>
      </w:r>
    </w:p>
    <w:p w14:paraId="12E68A3C" w14:textId="2F5F9837" w:rsidR="007C21AF" w:rsidRPr="00007515" w:rsidRDefault="001B0F71" w:rsidP="00007515">
      <w:pPr>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T</w:t>
      </w:r>
      <w:r w:rsidR="007C21AF">
        <w:rPr>
          <w:rFonts w:ascii="Arial" w:hAnsi="Arial" w:cs="Arial"/>
          <w:sz w:val="24"/>
          <w:szCs w:val="24"/>
        </w:rPr>
        <w:t xml:space="preserve">he Council’s consider that maintaining the use of the housing requirements set out in Policy 4, </w:t>
      </w:r>
      <w:r>
        <w:rPr>
          <w:rFonts w:ascii="Arial" w:hAnsi="Arial" w:cs="Arial"/>
          <w:sz w:val="24"/>
          <w:szCs w:val="24"/>
        </w:rPr>
        <w:t xml:space="preserve">which is now out of date, </w:t>
      </w:r>
      <w:r w:rsidR="007C21AF">
        <w:rPr>
          <w:rFonts w:ascii="Arial" w:hAnsi="Arial" w:cs="Arial"/>
          <w:sz w:val="24"/>
          <w:szCs w:val="24"/>
        </w:rPr>
        <w:t xml:space="preserve">until such a time as the review of the Local Plan is complete, is </w:t>
      </w:r>
      <w:r w:rsidR="00555FFE">
        <w:rPr>
          <w:rFonts w:ascii="Arial" w:hAnsi="Arial" w:cs="Arial"/>
          <w:sz w:val="24"/>
          <w:szCs w:val="24"/>
        </w:rPr>
        <w:t xml:space="preserve">not appropriate and has been </w:t>
      </w:r>
      <w:r w:rsidR="00EF2DE6">
        <w:rPr>
          <w:rFonts w:ascii="Arial" w:hAnsi="Arial" w:cs="Arial"/>
          <w:sz w:val="24"/>
          <w:szCs w:val="24"/>
        </w:rPr>
        <w:t>superseded</w:t>
      </w:r>
      <w:r w:rsidR="00555FFE">
        <w:rPr>
          <w:rFonts w:ascii="Arial" w:hAnsi="Arial" w:cs="Arial"/>
          <w:sz w:val="24"/>
          <w:szCs w:val="24"/>
        </w:rPr>
        <w:t xml:space="preserve"> </w:t>
      </w:r>
      <w:r w:rsidR="0054754B">
        <w:rPr>
          <w:rFonts w:ascii="Arial" w:hAnsi="Arial" w:cs="Arial"/>
          <w:sz w:val="24"/>
          <w:szCs w:val="24"/>
        </w:rPr>
        <w:t>by the standard housing m</w:t>
      </w:r>
      <w:r w:rsidR="00EE2FE1">
        <w:rPr>
          <w:rFonts w:ascii="Arial" w:hAnsi="Arial" w:cs="Arial"/>
          <w:sz w:val="24"/>
          <w:szCs w:val="24"/>
        </w:rPr>
        <w:t>ethod</w:t>
      </w:r>
      <w:r w:rsidR="0054754B">
        <w:rPr>
          <w:rFonts w:ascii="Arial" w:hAnsi="Arial" w:cs="Arial"/>
          <w:sz w:val="24"/>
          <w:szCs w:val="24"/>
        </w:rPr>
        <w:t>ology</w:t>
      </w:r>
      <w:r>
        <w:rPr>
          <w:rFonts w:ascii="Arial" w:hAnsi="Arial" w:cs="Arial"/>
          <w:sz w:val="24"/>
          <w:szCs w:val="24"/>
        </w:rPr>
        <w:t>, as explained below.</w:t>
      </w:r>
    </w:p>
    <w:p w14:paraId="487B750D" w14:textId="77777777" w:rsidR="00950269" w:rsidRDefault="00950269" w:rsidP="00453566">
      <w:pPr>
        <w:jc w:val="both"/>
        <w:rPr>
          <w:rFonts w:ascii="Arial" w:hAnsi="Arial" w:cs="Arial"/>
          <w:sz w:val="24"/>
          <w:szCs w:val="24"/>
        </w:rPr>
      </w:pPr>
    </w:p>
    <w:p w14:paraId="79CCEDFC" w14:textId="4F0FDA54" w:rsidR="00950269" w:rsidRPr="00E801BC" w:rsidRDefault="00950269" w:rsidP="00453566">
      <w:pPr>
        <w:jc w:val="both"/>
        <w:rPr>
          <w:rFonts w:ascii="Arial" w:hAnsi="Arial" w:cs="Arial"/>
          <w:b/>
          <w:sz w:val="24"/>
          <w:szCs w:val="24"/>
        </w:rPr>
      </w:pPr>
      <w:r w:rsidRPr="00E801BC">
        <w:rPr>
          <w:rFonts w:ascii="Arial" w:hAnsi="Arial" w:cs="Arial"/>
          <w:b/>
          <w:sz w:val="24"/>
          <w:szCs w:val="24"/>
        </w:rPr>
        <w:t>3.</w:t>
      </w:r>
      <w:r w:rsidRPr="00E801BC">
        <w:rPr>
          <w:rFonts w:ascii="Arial" w:hAnsi="Arial" w:cs="Arial"/>
          <w:b/>
          <w:sz w:val="24"/>
          <w:szCs w:val="24"/>
        </w:rPr>
        <w:tab/>
        <w:t>The 2017 Memorandum of Understanding</w:t>
      </w:r>
    </w:p>
    <w:p w14:paraId="4240E7F8" w14:textId="1567A663" w:rsidR="00950269" w:rsidRDefault="00950269" w:rsidP="005F5C7C">
      <w:pPr>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F5C7C">
        <w:rPr>
          <w:rFonts w:ascii="Arial" w:hAnsi="Arial" w:cs="Arial"/>
          <w:sz w:val="24"/>
          <w:szCs w:val="24"/>
        </w:rPr>
        <w:t xml:space="preserve">In September 2017, following the completion of the Central Lancashire Strategic Housing Market Assessment (undertaken by consultants on behalf of the three Councils), a Memorandum of Understanding </w:t>
      </w:r>
      <w:r w:rsidR="00C8642B">
        <w:rPr>
          <w:rFonts w:ascii="Arial" w:hAnsi="Arial" w:cs="Arial"/>
          <w:sz w:val="24"/>
          <w:szCs w:val="24"/>
        </w:rPr>
        <w:t xml:space="preserve">(MOU) </w:t>
      </w:r>
      <w:r w:rsidR="005F5C7C">
        <w:rPr>
          <w:rFonts w:ascii="Arial" w:hAnsi="Arial" w:cs="Arial"/>
          <w:sz w:val="24"/>
          <w:szCs w:val="24"/>
        </w:rPr>
        <w:t>was entered into in relation to the distribution of housing prior to the adoption of new Local Plan.</w:t>
      </w:r>
    </w:p>
    <w:p w14:paraId="75097F46" w14:textId="4F283CBD" w:rsidR="005F5C7C" w:rsidRDefault="005F5C7C" w:rsidP="003563F0">
      <w:pPr>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The Central</w:t>
      </w:r>
      <w:r w:rsidR="003563F0">
        <w:rPr>
          <w:rFonts w:ascii="Arial" w:hAnsi="Arial" w:cs="Arial"/>
          <w:sz w:val="24"/>
          <w:szCs w:val="24"/>
        </w:rPr>
        <w:t xml:space="preserve"> Lancashire Strategic Housing Market Assessment (SHMA) was published in August 2017 and identified that the Objectively Assessed Need (OAN) for new homes in Central Lancashire as 1,184 dwellings per annum, </w:t>
      </w:r>
      <w:r w:rsidR="0082024E">
        <w:rPr>
          <w:rFonts w:ascii="Arial" w:hAnsi="Arial" w:cs="Arial"/>
          <w:sz w:val="24"/>
          <w:szCs w:val="24"/>
        </w:rPr>
        <w:t xml:space="preserve">from a base date of April 2014, </w:t>
      </w:r>
      <w:r w:rsidR="003563F0">
        <w:rPr>
          <w:rFonts w:ascii="Arial" w:hAnsi="Arial" w:cs="Arial"/>
          <w:sz w:val="24"/>
          <w:szCs w:val="24"/>
        </w:rPr>
        <w:t>distributed as follows:</w:t>
      </w:r>
    </w:p>
    <w:p w14:paraId="3AC59BE1" w14:textId="2FA9A23B" w:rsidR="003563F0" w:rsidRDefault="003563F0"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Preston:</w:t>
      </w:r>
      <w:r w:rsidR="00921606">
        <w:rPr>
          <w:rFonts w:ascii="Arial" w:hAnsi="Arial" w:cs="Arial"/>
          <w:sz w:val="24"/>
          <w:szCs w:val="24"/>
        </w:rPr>
        <w:tab/>
      </w:r>
      <w:r w:rsidR="00921606">
        <w:rPr>
          <w:rFonts w:ascii="Arial" w:hAnsi="Arial" w:cs="Arial"/>
          <w:sz w:val="24"/>
          <w:szCs w:val="24"/>
        </w:rPr>
        <w:tab/>
        <w:t>225 dwellings pa</w:t>
      </w:r>
    </w:p>
    <w:p w14:paraId="614859CB" w14:textId="52CD0BDE" w:rsidR="00921606" w:rsidRDefault="00921606"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440 dwellings pa</w:t>
      </w:r>
    </w:p>
    <w:p w14:paraId="032F90A7" w14:textId="5ED2CFF9" w:rsidR="00921606" w:rsidRDefault="00921606"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519 dwellings pa</w:t>
      </w:r>
    </w:p>
    <w:p w14:paraId="0BE80349" w14:textId="0206D35C" w:rsidR="00921606" w:rsidRPr="00921606" w:rsidRDefault="00921606" w:rsidP="00453566">
      <w:pPr>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21606">
        <w:rPr>
          <w:rFonts w:ascii="Arial" w:hAnsi="Arial" w:cs="Arial"/>
          <w:b/>
          <w:sz w:val="24"/>
          <w:szCs w:val="24"/>
        </w:rPr>
        <w:t>Total:</w:t>
      </w:r>
      <w:r w:rsidRPr="00921606">
        <w:rPr>
          <w:rFonts w:ascii="Arial" w:hAnsi="Arial" w:cs="Arial"/>
          <w:b/>
          <w:sz w:val="24"/>
          <w:szCs w:val="24"/>
        </w:rPr>
        <w:tab/>
      </w:r>
      <w:r w:rsidRPr="00921606">
        <w:rPr>
          <w:rFonts w:ascii="Arial" w:hAnsi="Arial" w:cs="Arial"/>
          <w:b/>
          <w:sz w:val="24"/>
          <w:szCs w:val="24"/>
        </w:rPr>
        <w:tab/>
      </w:r>
      <w:r w:rsidRPr="00921606">
        <w:rPr>
          <w:rFonts w:ascii="Arial" w:hAnsi="Arial" w:cs="Arial"/>
          <w:b/>
          <w:sz w:val="24"/>
          <w:szCs w:val="24"/>
        </w:rPr>
        <w:tab/>
        <w:t>1,184 dwellings pa</w:t>
      </w:r>
    </w:p>
    <w:p w14:paraId="5AE72133" w14:textId="644E6B2B" w:rsidR="00921606" w:rsidRDefault="00921606" w:rsidP="00921606">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above figures represent the OAN for each Council taking account of economic growth forecasts at th</w:t>
      </w:r>
      <w:r w:rsidR="00555FFE">
        <w:rPr>
          <w:rFonts w:ascii="Arial" w:hAnsi="Arial" w:cs="Arial"/>
          <w:sz w:val="24"/>
          <w:szCs w:val="24"/>
        </w:rPr>
        <w:t>at</w:t>
      </w:r>
      <w:r>
        <w:rPr>
          <w:rFonts w:ascii="Arial" w:hAnsi="Arial" w:cs="Arial"/>
          <w:sz w:val="24"/>
          <w:szCs w:val="24"/>
        </w:rPr>
        <w:t xml:space="preserve"> time. The SHMA also produced a slightly lower Central Lancashire OAN figure based only on demographic growth, albeit with a different distribution across the three Councils.</w:t>
      </w:r>
    </w:p>
    <w:p w14:paraId="686E6FE7" w14:textId="7F41A35C" w:rsidR="00921606" w:rsidRDefault="00921606" w:rsidP="0082024E">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Given the Central Lancashire </w:t>
      </w:r>
      <w:r w:rsidR="00002184">
        <w:rPr>
          <w:rFonts w:ascii="Arial" w:hAnsi="Arial" w:cs="Arial"/>
          <w:sz w:val="24"/>
          <w:szCs w:val="24"/>
        </w:rPr>
        <w:t xml:space="preserve">yearly </w:t>
      </w:r>
      <w:r>
        <w:rPr>
          <w:rFonts w:ascii="Arial" w:hAnsi="Arial" w:cs="Arial"/>
          <w:sz w:val="24"/>
          <w:szCs w:val="24"/>
        </w:rPr>
        <w:t>OAN overall was not found to be radically dissimilar to the housing requirements of P</w:t>
      </w:r>
      <w:r w:rsidR="00C8642B">
        <w:rPr>
          <w:rFonts w:ascii="Arial" w:hAnsi="Arial" w:cs="Arial"/>
          <w:sz w:val="24"/>
          <w:szCs w:val="24"/>
        </w:rPr>
        <w:t>olicy 4</w:t>
      </w:r>
      <w:r w:rsidR="00002184">
        <w:rPr>
          <w:rFonts w:ascii="Arial" w:hAnsi="Arial" w:cs="Arial"/>
          <w:sz w:val="24"/>
          <w:szCs w:val="24"/>
        </w:rPr>
        <w:t xml:space="preserve"> (albeit with the exclusion of any historic under or over delivery)</w:t>
      </w:r>
      <w:r w:rsidR="00C8642B">
        <w:rPr>
          <w:rFonts w:ascii="Arial" w:hAnsi="Arial" w:cs="Arial"/>
          <w:sz w:val="24"/>
          <w:szCs w:val="24"/>
        </w:rPr>
        <w:t>, the 2017 MO</w:t>
      </w:r>
      <w:r>
        <w:rPr>
          <w:rFonts w:ascii="Arial" w:hAnsi="Arial" w:cs="Arial"/>
          <w:sz w:val="24"/>
          <w:szCs w:val="24"/>
        </w:rPr>
        <w:t xml:space="preserve">U </w:t>
      </w:r>
      <w:r w:rsidR="0082024E">
        <w:rPr>
          <w:rFonts w:ascii="Arial" w:hAnsi="Arial" w:cs="Arial"/>
          <w:sz w:val="24"/>
          <w:szCs w:val="24"/>
        </w:rPr>
        <w:t>agreed to a continuation of the use of the Policy 4 housing requirement and distribution. This decision was based on the need to continue to prioritise a pattern of development which supported the growth of strategic sites and locations, namely Cottam and North West Preston.</w:t>
      </w:r>
    </w:p>
    <w:p w14:paraId="74952F33" w14:textId="046AFCF8" w:rsidR="0082024E" w:rsidRDefault="0082024E" w:rsidP="0082024E">
      <w:pPr>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Furthermore, </w:t>
      </w:r>
      <w:r w:rsidR="007C21AF">
        <w:rPr>
          <w:rFonts w:ascii="Arial" w:hAnsi="Arial" w:cs="Arial"/>
          <w:sz w:val="24"/>
          <w:szCs w:val="24"/>
        </w:rPr>
        <w:t xml:space="preserve">at the time, it was considered that </w:t>
      </w:r>
      <w:r>
        <w:rPr>
          <w:rFonts w:ascii="Arial" w:hAnsi="Arial" w:cs="Arial"/>
          <w:sz w:val="24"/>
          <w:szCs w:val="24"/>
        </w:rPr>
        <w:t>a continuation of the application of Policy 4 would help to address net out-migration from Preston to other parts of the Housing Market Area.</w:t>
      </w:r>
    </w:p>
    <w:p w14:paraId="6A1CEF80" w14:textId="470B9703" w:rsidR="00A530BC" w:rsidRDefault="001B0F71" w:rsidP="0082024E">
      <w:pPr>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D13E9">
        <w:rPr>
          <w:rFonts w:ascii="Arial" w:hAnsi="Arial" w:cs="Arial"/>
          <w:sz w:val="24"/>
          <w:szCs w:val="24"/>
        </w:rPr>
        <w:t xml:space="preserve">In November 2017 the MOU process was subject to assessment on appeal in relation to a development at Pear Tree Lane, </w:t>
      </w:r>
      <w:proofErr w:type="spellStart"/>
      <w:r w:rsidR="005D13E9">
        <w:rPr>
          <w:rFonts w:ascii="Arial" w:hAnsi="Arial" w:cs="Arial"/>
          <w:sz w:val="24"/>
          <w:szCs w:val="24"/>
        </w:rPr>
        <w:t>Euxton</w:t>
      </w:r>
      <w:proofErr w:type="spellEnd"/>
      <w:r w:rsidR="00A530BC">
        <w:rPr>
          <w:rFonts w:ascii="Arial" w:hAnsi="Arial" w:cs="Arial"/>
          <w:sz w:val="24"/>
          <w:szCs w:val="24"/>
        </w:rPr>
        <w:t>, Chorley</w:t>
      </w:r>
      <w:r w:rsidR="005D13E9">
        <w:rPr>
          <w:rFonts w:ascii="Arial" w:hAnsi="Arial" w:cs="Arial"/>
          <w:sz w:val="24"/>
          <w:szCs w:val="24"/>
        </w:rPr>
        <w:t xml:space="preserve"> (Appeal Ref: APP/D2320/W/17/3173275). </w:t>
      </w:r>
      <w:r w:rsidR="00A530BC">
        <w:rPr>
          <w:rFonts w:ascii="Arial" w:hAnsi="Arial" w:cs="Arial"/>
          <w:sz w:val="24"/>
          <w:szCs w:val="24"/>
        </w:rPr>
        <w:t>Although national policy has moved on substantively since this time (covered in Section 4 of this document), the fundamental principles of this decision remain pertinent.</w:t>
      </w:r>
    </w:p>
    <w:p w14:paraId="015F46D5" w14:textId="77F6DE6E" w:rsidR="001B0F71" w:rsidRPr="005D13E9" w:rsidRDefault="00A530BC" w:rsidP="0082024E">
      <w:pPr>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D13E9">
        <w:rPr>
          <w:rFonts w:ascii="Arial" w:hAnsi="Arial" w:cs="Arial"/>
          <w:sz w:val="24"/>
          <w:szCs w:val="24"/>
        </w:rPr>
        <w:t xml:space="preserve">In this case the Inspector deliberated the </w:t>
      </w:r>
      <w:r>
        <w:rPr>
          <w:rFonts w:ascii="Arial" w:hAnsi="Arial" w:cs="Arial"/>
          <w:sz w:val="24"/>
          <w:szCs w:val="24"/>
        </w:rPr>
        <w:t xml:space="preserve">legitimacy of the MOU in apportioning dwellings from one part of the Central Lancashire Housing Market Area (HMA) to another, given this would be </w:t>
      </w:r>
      <w:proofErr w:type="spellStart"/>
      <w:r>
        <w:rPr>
          <w:rFonts w:ascii="Arial" w:hAnsi="Arial" w:cs="Arial"/>
          <w:sz w:val="24"/>
          <w:szCs w:val="24"/>
        </w:rPr>
        <w:t>outwith</w:t>
      </w:r>
      <w:proofErr w:type="spellEnd"/>
      <w:r>
        <w:rPr>
          <w:rFonts w:ascii="Arial" w:hAnsi="Arial" w:cs="Arial"/>
          <w:sz w:val="24"/>
          <w:szCs w:val="24"/>
        </w:rPr>
        <w:t xml:space="preserve"> the development plan process. In conclusion </w:t>
      </w:r>
      <w:r>
        <w:rPr>
          <w:rFonts w:ascii="Arial" w:hAnsi="Arial" w:cs="Arial"/>
          <w:sz w:val="24"/>
          <w:szCs w:val="24"/>
        </w:rPr>
        <w:lastRenderedPageBreak/>
        <w:t xml:space="preserve">the Inspector sited the </w:t>
      </w:r>
      <w:r w:rsidRPr="00A530BC">
        <w:rPr>
          <w:rFonts w:ascii="Arial" w:hAnsi="Arial" w:cs="Arial"/>
          <w:i/>
          <w:sz w:val="24"/>
          <w:szCs w:val="24"/>
        </w:rPr>
        <w:t>‘proven track record of joint working across the HMA’</w:t>
      </w:r>
      <w:r>
        <w:rPr>
          <w:rFonts w:ascii="Arial" w:hAnsi="Arial" w:cs="Arial"/>
          <w:sz w:val="24"/>
          <w:szCs w:val="24"/>
        </w:rPr>
        <w:t xml:space="preserve"> (Paragraph 27) and concluded an apportionment of OAN to elsewhere in the HMA, in accordance with the principles of the MOU, would be acceptable (Paragraph 32 and 33).</w:t>
      </w:r>
    </w:p>
    <w:p w14:paraId="1777606E" w14:textId="77777777" w:rsidR="007C21AF" w:rsidRDefault="007C21AF" w:rsidP="00453566">
      <w:pPr>
        <w:jc w:val="both"/>
        <w:rPr>
          <w:rFonts w:ascii="Arial" w:hAnsi="Arial" w:cs="Arial"/>
          <w:sz w:val="24"/>
          <w:szCs w:val="24"/>
        </w:rPr>
      </w:pPr>
    </w:p>
    <w:p w14:paraId="6C2A7681" w14:textId="122BCD00" w:rsidR="00950269" w:rsidRPr="00E801BC" w:rsidRDefault="00950269" w:rsidP="00453566">
      <w:pPr>
        <w:jc w:val="both"/>
        <w:rPr>
          <w:rFonts w:ascii="Arial" w:hAnsi="Arial" w:cs="Arial"/>
          <w:b/>
          <w:sz w:val="24"/>
          <w:szCs w:val="24"/>
        </w:rPr>
      </w:pPr>
      <w:r w:rsidRPr="00E801BC">
        <w:rPr>
          <w:rFonts w:ascii="Arial" w:hAnsi="Arial" w:cs="Arial"/>
          <w:b/>
          <w:sz w:val="24"/>
          <w:szCs w:val="24"/>
        </w:rPr>
        <w:t>4.</w:t>
      </w:r>
      <w:r w:rsidRPr="00E801BC">
        <w:rPr>
          <w:rFonts w:ascii="Arial" w:hAnsi="Arial" w:cs="Arial"/>
          <w:b/>
          <w:sz w:val="24"/>
          <w:szCs w:val="24"/>
        </w:rPr>
        <w:tab/>
        <w:t>Changes to the National Planning Policy Context</w:t>
      </w:r>
    </w:p>
    <w:p w14:paraId="1EEC00C6" w14:textId="0FB4E576" w:rsidR="000C379F" w:rsidRDefault="00950269" w:rsidP="000C379F">
      <w:pPr>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74A42">
        <w:rPr>
          <w:rFonts w:ascii="Arial" w:hAnsi="Arial" w:cs="Arial"/>
          <w:sz w:val="24"/>
          <w:szCs w:val="24"/>
        </w:rPr>
        <w:t xml:space="preserve">The changes to the National Planning Policy Framework (the Framework) since the </w:t>
      </w:r>
      <w:r w:rsidR="00C8642B">
        <w:rPr>
          <w:rFonts w:ascii="Arial" w:hAnsi="Arial" w:cs="Arial"/>
          <w:sz w:val="24"/>
          <w:szCs w:val="24"/>
        </w:rPr>
        <w:t>2017 MOU</w:t>
      </w:r>
      <w:r w:rsidR="00A74A42">
        <w:rPr>
          <w:rFonts w:ascii="Arial" w:hAnsi="Arial" w:cs="Arial"/>
          <w:sz w:val="24"/>
          <w:szCs w:val="24"/>
        </w:rPr>
        <w:t xml:space="preserve"> have been significant. </w:t>
      </w:r>
    </w:p>
    <w:p w14:paraId="3564231C" w14:textId="1E7D01DB" w:rsidR="00950269" w:rsidRDefault="000C379F" w:rsidP="00AC33E4">
      <w:pPr>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12A62">
        <w:rPr>
          <w:rFonts w:ascii="Arial" w:hAnsi="Arial" w:cs="Arial"/>
          <w:sz w:val="24"/>
          <w:szCs w:val="24"/>
        </w:rPr>
        <w:t>In February 2019, the Ministry of Housing, Communities &amp; Local Government (MHCLG) published the revised Framework</w:t>
      </w:r>
      <w:r w:rsidR="00AC33E4">
        <w:rPr>
          <w:rFonts w:ascii="Arial" w:hAnsi="Arial" w:cs="Arial"/>
          <w:sz w:val="24"/>
          <w:szCs w:val="24"/>
        </w:rPr>
        <w:t>. From the date of its publication, the revised Framework, and the policies and guidance contained therein, are material considerations to be taken into account in determining planning applications and guide the content of new Local Plans.</w:t>
      </w:r>
    </w:p>
    <w:p w14:paraId="254D387E" w14:textId="1D38CD24" w:rsidR="00AC33E4" w:rsidRDefault="00AC33E4" w:rsidP="008D1C98">
      <w:pPr>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D1C98">
        <w:rPr>
          <w:rFonts w:ascii="Arial" w:hAnsi="Arial" w:cs="Arial"/>
          <w:sz w:val="24"/>
          <w:szCs w:val="24"/>
        </w:rPr>
        <w:t>Paragraph 60 of the revised Framework states that in order to determine the minimum number of homes needed, policies should be informed by a local housing need assessment conducted using the standard method in national planning guidance. This approach ought to be used, unless exceptional circumstances justify an alternative approach. Paragraph 60 also states that any needs which cannot be met in neighbouring authorities should also be taken into account.</w:t>
      </w:r>
    </w:p>
    <w:p w14:paraId="27229347" w14:textId="3E90A7D7" w:rsidR="008D1C98" w:rsidRDefault="008D1C98" w:rsidP="008D1C98">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National Planning Practice Guidance </w:t>
      </w:r>
      <w:r w:rsidR="002F5821">
        <w:rPr>
          <w:rFonts w:ascii="Arial" w:hAnsi="Arial" w:cs="Arial"/>
          <w:sz w:val="24"/>
          <w:szCs w:val="24"/>
        </w:rPr>
        <w:t xml:space="preserve">(PPG) </w:t>
      </w:r>
      <w:r>
        <w:rPr>
          <w:rFonts w:ascii="Arial" w:hAnsi="Arial" w:cs="Arial"/>
          <w:sz w:val="24"/>
          <w:szCs w:val="24"/>
        </w:rPr>
        <w:t xml:space="preserve">prescribes the standard method formula, which calculates the minimum number of homes which must be planned for. The formula establishes a baseline, by </w:t>
      </w:r>
      <w:r w:rsidR="002F5821">
        <w:rPr>
          <w:rFonts w:ascii="Arial" w:hAnsi="Arial" w:cs="Arial"/>
          <w:sz w:val="24"/>
          <w:szCs w:val="24"/>
        </w:rPr>
        <w:t xml:space="preserve">taking the latest Office </w:t>
      </w:r>
      <w:r>
        <w:rPr>
          <w:rFonts w:ascii="Arial" w:hAnsi="Arial" w:cs="Arial"/>
          <w:sz w:val="24"/>
          <w:szCs w:val="24"/>
        </w:rPr>
        <w:t>f</w:t>
      </w:r>
      <w:r w:rsidR="002F5821">
        <w:rPr>
          <w:rFonts w:ascii="Arial" w:hAnsi="Arial" w:cs="Arial"/>
          <w:sz w:val="24"/>
          <w:szCs w:val="24"/>
        </w:rPr>
        <w:t>or</w:t>
      </w:r>
      <w:r>
        <w:rPr>
          <w:rFonts w:ascii="Arial" w:hAnsi="Arial" w:cs="Arial"/>
          <w:sz w:val="24"/>
          <w:szCs w:val="24"/>
        </w:rPr>
        <w:t xml:space="preserve"> National Statistics</w:t>
      </w:r>
      <w:r w:rsidR="002F5821">
        <w:rPr>
          <w:rFonts w:ascii="Arial" w:hAnsi="Arial" w:cs="Arial"/>
          <w:sz w:val="24"/>
          <w:szCs w:val="24"/>
        </w:rPr>
        <w:t xml:space="preserve"> (ONS) household growth projections, and, applying an affordability adjustment, based on an authority’s median </w:t>
      </w:r>
      <w:r w:rsidR="00EF2DE6">
        <w:rPr>
          <w:rFonts w:ascii="Arial" w:hAnsi="Arial" w:cs="Arial"/>
          <w:sz w:val="24"/>
          <w:szCs w:val="24"/>
        </w:rPr>
        <w:t>workplace-based</w:t>
      </w:r>
      <w:r w:rsidR="002F5821">
        <w:rPr>
          <w:rFonts w:ascii="Arial" w:hAnsi="Arial" w:cs="Arial"/>
          <w:sz w:val="24"/>
          <w:szCs w:val="24"/>
        </w:rPr>
        <w:t xml:space="preserve"> affordability ratio (PPG Para </w:t>
      </w:r>
      <w:r w:rsidR="00486893">
        <w:rPr>
          <w:rFonts w:ascii="Arial" w:hAnsi="Arial" w:cs="Arial"/>
          <w:sz w:val="24"/>
          <w:szCs w:val="24"/>
        </w:rPr>
        <w:t>2a-004</w:t>
      </w:r>
      <w:r w:rsidR="00BC066A">
        <w:rPr>
          <w:rFonts w:ascii="Arial" w:hAnsi="Arial" w:cs="Arial"/>
          <w:sz w:val="24"/>
          <w:szCs w:val="24"/>
        </w:rPr>
        <w:t>-20190220</w:t>
      </w:r>
      <w:r w:rsidR="002F5821">
        <w:rPr>
          <w:rFonts w:ascii="Arial" w:hAnsi="Arial" w:cs="Arial"/>
          <w:sz w:val="24"/>
          <w:szCs w:val="24"/>
        </w:rPr>
        <w:t>).</w:t>
      </w:r>
    </w:p>
    <w:p w14:paraId="4D6EB1FA" w14:textId="4E83C39D" w:rsidR="002F5821" w:rsidRDefault="002F5821" w:rsidP="008D1C98">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Until such a time as Government produces revised PPG, Local Planning Authorities (LPAs) must use the 2014 based ONS household projections in calculating the minimum number of homes which need to be planned for (PPG Para </w:t>
      </w:r>
      <w:r w:rsidR="00486893">
        <w:rPr>
          <w:rFonts w:ascii="Arial" w:hAnsi="Arial" w:cs="Arial"/>
          <w:sz w:val="24"/>
          <w:szCs w:val="24"/>
        </w:rPr>
        <w:t>2a-</w:t>
      </w:r>
      <w:r>
        <w:rPr>
          <w:rFonts w:ascii="Arial" w:hAnsi="Arial" w:cs="Arial"/>
          <w:sz w:val="24"/>
          <w:szCs w:val="24"/>
        </w:rPr>
        <w:t>005</w:t>
      </w:r>
      <w:r w:rsidR="00BC066A">
        <w:rPr>
          <w:rFonts w:ascii="Arial" w:hAnsi="Arial" w:cs="Arial"/>
          <w:sz w:val="24"/>
          <w:szCs w:val="24"/>
        </w:rPr>
        <w:t>-20190220</w:t>
      </w:r>
      <w:r>
        <w:rPr>
          <w:rFonts w:ascii="Arial" w:hAnsi="Arial" w:cs="Arial"/>
          <w:sz w:val="24"/>
          <w:szCs w:val="24"/>
        </w:rPr>
        <w:t>).</w:t>
      </w:r>
    </w:p>
    <w:p w14:paraId="3D53268E" w14:textId="0B54C4E9" w:rsidR="00115593" w:rsidRDefault="00115593" w:rsidP="008D1C98">
      <w:pPr>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81B7B">
        <w:rPr>
          <w:rFonts w:ascii="Arial" w:hAnsi="Arial" w:cs="Arial"/>
          <w:sz w:val="24"/>
          <w:szCs w:val="24"/>
        </w:rPr>
        <w:t xml:space="preserve">PPG provides scenarios whereby planning for higher levels of housing need in a particular authority may be appropriate. </w:t>
      </w:r>
      <w:r w:rsidR="00042FDF">
        <w:rPr>
          <w:rFonts w:ascii="Arial" w:hAnsi="Arial" w:cs="Arial"/>
          <w:sz w:val="24"/>
          <w:szCs w:val="24"/>
        </w:rPr>
        <w:t>Paragraph 2a-010</w:t>
      </w:r>
      <w:r w:rsidR="00E6659D">
        <w:rPr>
          <w:rFonts w:ascii="Arial" w:hAnsi="Arial" w:cs="Arial"/>
          <w:sz w:val="24"/>
          <w:szCs w:val="24"/>
        </w:rPr>
        <w:t>-20190220</w:t>
      </w:r>
      <w:r w:rsidR="00042FDF">
        <w:rPr>
          <w:rFonts w:ascii="Arial" w:hAnsi="Arial" w:cs="Arial"/>
          <w:sz w:val="24"/>
          <w:szCs w:val="24"/>
        </w:rPr>
        <w:t xml:space="preserve"> of </w:t>
      </w:r>
      <w:r w:rsidR="00981B7B">
        <w:rPr>
          <w:rFonts w:ascii="Arial" w:hAnsi="Arial" w:cs="Arial"/>
          <w:sz w:val="24"/>
          <w:szCs w:val="24"/>
        </w:rPr>
        <w:t>PPG states that</w:t>
      </w:r>
      <w:r w:rsidR="00042FDF">
        <w:rPr>
          <w:rFonts w:ascii="Arial" w:hAnsi="Arial" w:cs="Arial"/>
          <w:sz w:val="24"/>
          <w:szCs w:val="24"/>
        </w:rPr>
        <w:t xml:space="preserve"> in circumstances where actual housi</w:t>
      </w:r>
      <w:r w:rsidR="005B73D4">
        <w:rPr>
          <w:rFonts w:ascii="Arial" w:hAnsi="Arial" w:cs="Arial"/>
          <w:sz w:val="24"/>
          <w:szCs w:val="24"/>
        </w:rPr>
        <w:t>ng need may exceed an authority’</w:t>
      </w:r>
      <w:r w:rsidR="00042FDF">
        <w:rPr>
          <w:rFonts w:ascii="Arial" w:hAnsi="Arial" w:cs="Arial"/>
          <w:sz w:val="24"/>
          <w:szCs w:val="24"/>
        </w:rPr>
        <w:t>s standard method calculation,</w:t>
      </w:r>
      <w:r w:rsidR="005B73D4">
        <w:rPr>
          <w:rFonts w:ascii="Arial" w:hAnsi="Arial" w:cs="Arial"/>
          <w:sz w:val="24"/>
          <w:szCs w:val="24"/>
        </w:rPr>
        <w:t xml:space="preserve"> entering into</w:t>
      </w:r>
      <w:r w:rsidR="00042FDF">
        <w:rPr>
          <w:rFonts w:ascii="Arial" w:hAnsi="Arial" w:cs="Arial"/>
          <w:sz w:val="24"/>
          <w:szCs w:val="24"/>
        </w:rPr>
        <w:t xml:space="preserve"> a statement of common ground with neighbouring authorities to agree to take unmet need</w:t>
      </w:r>
      <w:r w:rsidR="005B73D4">
        <w:rPr>
          <w:rFonts w:ascii="Arial" w:hAnsi="Arial" w:cs="Arial"/>
          <w:sz w:val="24"/>
          <w:szCs w:val="24"/>
        </w:rPr>
        <w:t xml:space="preserve"> would be an appropriate course of action to take.</w:t>
      </w:r>
      <w:r w:rsidR="00042FDF">
        <w:rPr>
          <w:rFonts w:ascii="Arial" w:hAnsi="Arial" w:cs="Arial"/>
          <w:sz w:val="24"/>
          <w:szCs w:val="24"/>
        </w:rPr>
        <w:t xml:space="preserve">  </w:t>
      </w:r>
      <w:r w:rsidR="00981B7B">
        <w:rPr>
          <w:rFonts w:ascii="Arial" w:hAnsi="Arial" w:cs="Arial"/>
          <w:sz w:val="24"/>
          <w:szCs w:val="24"/>
        </w:rPr>
        <w:t xml:space="preserve"> </w:t>
      </w:r>
    </w:p>
    <w:p w14:paraId="5CE89CAA" w14:textId="4E12C7A1" w:rsidR="000F47EB" w:rsidRDefault="005B73D4" w:rsidP="008D1C98">
      <w:pPr>
        <w:ind w:left="720" w:hanging="720"/>
        <w:jc w:val="both"/>
        <w:rPr>
          <w:rFonts w:ascii="Arial" w:hAnsi="Arial" w:cs="Arial"/>
          <w:sz w:val="24"/>
          <w:szCs w:val="24"/>
        </w:rPr>
      </w:pPr>
      <w:r>
        <w:rPr>
          <w:rFonts w:ascii="Arial" w:hAnsi="Arial" w:cs="Arial"/>
          <w:sz w:val="24"/>
          <w:szCs w:val="24"/>
        </w:rPr>
        <w:t>4.7</w:t>
      </w:r>
      <w:r w:rsidR="000F47EB">
        <w:rPr>
          <w:rFonts w:ascii="Arial" w:hAnsi="Arial" w:cs="Arial"/>
          <w:sz w:val="24"/>
          <w:szCs w:val="24"/>
        </w:rPr>
        <w:tab/>
      </w:r>
      <w:r w:rsidR="00E6128C">
        <w:rPr>
          <w:rFonts w:ascii="Arial" w:hAnsi="Arial" w:cs="Arial"/>
          <w:sz w:val="24"/>
          <w:szCs w:val="24"/>
        </w:rPr>
        <w:t>PPG states that in circumstances where local housing needs assessments cover more than one area, for example where LPAs are working jointly on strategic plans, the housing need for the defined area should at least be equal to the sum of the minimum number of homes needed in each LPA. Furthermore, PPG advises that it is a matter for the relevant LPAs to determine the distribution of the total minimum number of homes needed across the plan area (PPG Para 2a-013</w:t>
      </w:r>
      <w:r w:rsidR="00E6659D">
        <w:rPr>
          <w:rFonts w:ascii="Arial" w:hAnsi="Arial" w:cs="Arial"/>
          <w:sz w:val="24"/>
          <w:szCs w:val="24"/>
        </w:rPr>
        <w:t>-20190220</w:t>
      </w:r>
      <w:r w:rsidR="00E6128C">
        <w:rPr>
          <w:rFonts w:ascii="Arial" w:hAnsi="Arial" w:cs="Arial"/>
          <w:sz w:val="24"/>
          <w:szCs w:val="24"/>
        </w:rPr>
        <w:t>).</w:t>
      </w:r>
    </w:p>
    <w:p w14:paraId="1222B449" w14:textId="77777777" w:rsidR="005B73D4" w:rsidRDefault="005B73D4" w:rsidP="008D1C98">
      <w:pPr>
        <w:ind w:left="720" w:hanging="720"/>
        <w:jc w:val="both"/>
        <w:rPr>
          <w:rFonts w:ascii="Arial" w:hAnsi="Arial" w:cs="Arial"/>
          <w:sz w:val="24"/>
          <w:szCs w:val="24"/>
        </w:rPr>
      </w:pPr>
      <w:r>
        <w:rPr>
          <w:rFonts w:ascii="Arial" w:hAnsi="Arial" w:cs="Arial"/>
          <w:sz w:val="24"/>
          <w:szCs w:val="24"/>
        </w:rPr>
        <w:lastRenderedPageBreak/>
        <w:t>4.8</w:t>
      </w:r>
      <w:r w:rsidR="002F5821">
        <w:rPr>
          <w:rFonts w:ascii="Arial" w:hAnsi="Arial" w:cs="Arial"/>
          <w:sz w:val="24"/>
          <w:szCs w:val="24"/>
        </w:rPr>
        <w:tab/>
        <w:t>Paragraph 73 of the Framework states that</w:t>
      </w:r>
      <w:r>
        <w:rPr>
          <w:rFonts w:ascii="Arial" w:hAnsi="Arial" w:cs="Arial"/>
          <w:sz w:val="24"/>
          <w:szCs w:val="24"/>
        </w:rPr>
        <w:t>:</w:t>
      </w:r>
    </w:p>
    <w:p w14:paraId="1FAB15F4" w14:textId="6DD14895" w:rsidR="005B73D4" w:rsidRPr="005B73D4" w:rsidRDefault="005B73D4" w:rsidP="008D1C98">
      <w:pPr>
        <w:ind w:left="720" w:hanging="720"/>
        <w:jc w:val="both"/>
        <w:rPr>
          <w:rFonts w:ascii="Arial" w:hAnsi="Arial" w:cs="Arial"/>
          <w:i/>
          <w:sz w:val="24"/>
          <w:szCs w:val="24"/>
        </w:rPr>
      </w:pPr>
      <w:r>
        <w:rPr>
          <w:rFonts w:ascii="Arial" w:hAnsi="Arial" w:cs="Arial"/>
          <w:sz w:val="24"/>
          <w:szCs w:val="24"/>
        </w:rPr>
        <w:tab/>
      </w:r>
      <w:r w:rsidRPr="005B73D4">
        <w:rPr>
          <w:rFonts w:ascii="Arial" w:hAnsi="Arial" w:cs="Arial"/>
          <w:i/>
          <w:sz w:val="24"/>
          <w:szCs w:val="24"/>
        </w:rPr>
        <w:t>‘Local planning authorities should identify and update annually a supply of specific deliverable sites sufficient to provide a minimum of five years’ worth of housing against their housing requirement set out in adopted strategic policies, or against their local housing need where the strategic policies are more than five years old</w:t>
      </w:r>
      <w:r>
        <w:rPr>
          <w:rFonts w:ascii="Arial" w:hAnsi="Arial" w:cs="Arial"/>
          <w:i/>
          <w:sz w:val="24"/>
          <w:szCs w:val="24"/>
        </w:rPr>
        <w:t>.</w:t>
      </w:r>
      <w:r w:rsidRPr="005B73D4">
        <w:rPr>
          <w:rFonts w:ascii="Arial" w:hAnsi="Arial" w:cs="Arial"/>
          <w:i/>
          <w:sz w:val="24"/>
          <w:szCs w:val="24"/>
        </w:rPr>
        <w:t>’</w:t>
      </w:r>
    </w:p>
    <w:p w14:paraId="14FF74C0" w14:textId="0B62F881" w:rsidR="005B73D4" w:rsidRDefault="005B73D4" w:rsidP="008D1C98">
      <w:pPr>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t>Footnote 37 to Paragraph 73 of the Framework states that:</w:t>
      </w:r>
    </w:p>
    <w:p w14:paraId="265BB99C" w14:textId="10DA7C09" w:rsidR="005B73D4" w:rsidRPr="005B73D4" w:rsidRDefault="005B73D4" w:rsidP="005B73D4">
      <w:pPr>
        <w:ind w:left="720" w:hanging="720"/>
        <w:jc w:val="both"/>
        <w:rPr>
          <w:rFonts w:ascii="Arial" w:hAnsi="Arial" w:cs="Arial"/>
          <w:i/>
          <w:sz w:val="24"/>
          <w:szCs w:val="24"/>
        </w:rPr>
      </w:pPr>
      <w:r>
        <w:rPr>
          <w:rFonts w:ascii="Arial" w:hAnsi="Arial" w:cs="Arial"/>
          <w:sz w:val="24"/>
          <w:szCs w:val="24"/>
        </w:rPr>
        <w:tab/>
      </w:r>
      <w:r w:rsidRPr="005B73D4">
        <w:rPr>
          <w:rFonts w:ascii="Arial" w:hAnsi="Arial" w:cs="Arial"/>
          <w:i/>
          <w:sz w:val="24"/>
          <w:szCs w:val="24"/>
        </w:rPr>
        <w:t>‘Unless these strategic policies have been reviewed and found not to require updating. Where a local housing need is used as the basis for assessing whether a five year supply of specific deliverable sites exist, it should be calculated using the standard method set out in national planning guidance.’</w:t>
      </w:r>
    </w:p>
    <w:p w14:paraId="247F3278" w14:textId="4181530A" w:rsidR="00486893" w:rsidRDefault="005B73D4" w:rsidP="005B73D4">
      <w:pPr>
        <w:jc w:val="both"/>
        <w:rPr>
          <w:rFonts w:ascii="Arial" w:hAnsi="Arial" w:cs="Arial"/>
          <w:sz w:val="24"/>
          <w:szCs w:val="24"/>
        </w:rPr>
      </w:pPr>
      <w:r>
        <w:rPr>
          <w:rFonts w:ascii="Arial" w:hAnsi="Arial" w:cs="Arial"/>
          <w:sz w:val="24"/>
          <w:szCs w:val="24"/>
        </w:rPr>
        <w:t>4.10</w:t>
      </w:r>
      <w:r w:rsidR="00486893">
        <w:rPr>
          <w:rFonts w:ascii="Arial" w:hAnsi="Arial" w:cs="Arial"/>
          <w:sz w:val="24"/>
          <w:szCs w:val="24"/>
        </w:rPr>
        <w:tab/>
        <w:t>The above approach is clarified further in PPG (PPG Para 68-005</w:t>
      </w:r>
      <w:r w:rsidR="00E6659D">
        <w:rPr>
          <w:rFonts w:ascii="Arial" w:hAnsi="Arial" w:cs="Arial"/>
          <w:sz w:val="24"/>
          <w:szCs w:val="24"/>
        </w:rPr>
        <w:t>-20190722</w:t>
      </w:r>
      <w:r w:rsidR="00486893">
        <w:rPr>
          <w:rFonts w:ascii="Arial" w:hAnsi="Arial" w:cs="Arial"/>
          <w:sz w:val="24"/>
          <w:szCs w:val="24"/>
        </w:rPr>
        <w:t>).</w:t>
      </w:r>
    </w:p>
    <w:p w14:paraId="78DAF472" w14:textId="77777777" w:rsidR="00B57879" w:rsidRDefault="00B57879" w:rsidP="00115593">
      <w:pPr>
        <w:jc w:val="both"/>
        <w:rPr>
          <w:rFonts w:ascii="Arial" w:hAnsi="Arial" w:cs="Arial"/>
          <w:sz w:val="24"/>
          <w:szCs w:val="24"/>
        </w:rPr>
      </w:pPr>
    </w:p>
    <w:p w14:paraId="02E0C409" w14:textId="47886FB9" w:rsidR="00B57879" w:rsidRPr="00B57879" w:rsidRDefault="00B57879" w:rsidP="008D1C98">
      <w:pPr>
        <w:ind w:left="720" w:hanging="720"/>
        <w:jc w:val="both"/>
        <w:rPr>
          <w:rFonts w:ascii="Arial" w:hAnsi="Arial" w:cs="Arial"/>
          <w:b/>
          <w:sz w:val="24"/>
          <w:szCs w:val="24"/>
        </w:rPr>
      </w:pPr>
      <w:r w:rsidRPr="00B57879">
        <w:rPr>
          <w:rFonts w:ascii="Arial" w:hAnsi="Arial" w:cs="Arial"/>
          <w:b/>
          <w:sz w:val="24"/>
          <w:szCs w:val="24"/>
        </w:rPr>
        <w:t>5.</w:t>
      </w:r>
      <w:r w:rsidRPr="00B57879">
        <w:rPr>
          <w:rFonts w:ascii="Arial" w:hAnsi="Arial" w:cs="Arial"/>
          <w:b/>
          <w:sz w:val="24"/>
          <w:szCs w:val="24"/>
        </w:rPr>
        <w:tab/>
        <w:t>Standard Method &amp; Central Lancashire</w:t>
      </w:r>
    </w:p>
    <w:p w14:paraId="176AEE96" w14:textId="1D0CABF8" w:rsidR="00486893" w:rsidRDefault="00A60F3C" w:rsidP="008D1C98">
      <w:pPr>
        <w:ind w:left="720" w:hanging="720"/>
        <w:jc w:val="both"/>
        <w:rPr>
          <w:rFonts w:ascii="Arial" w:hAnsi="Arial" w:cs="Arial"/>
          <w:sz w:val="24"/>
          <w:szCs w:val="24"/>
        </w:rPr>
      </w:pPr>
      <w:r>
        <w:rPr>
          <w:rFonts w:ascii="Arial" w:hAnsi="Arial" w:cs="Arial"/>
          <w:sz w:val="24"/>
          <w:szCs w:val="24"/>
        </w:rPr>
        <w:t>5.1</w:t>
      </w:r>
      <w:r w:rsidR="00486893">
        <w:rPr>
          <w:rFonts w:ascii="Arial" w:hAnsi="Arial" w:cs="Arial"/>
          <w:sz w:val="24"/>
          <w:szCs w:val="24"/>
        </w:rPr>
        <w:tab/>
        <w:t xml:space="preserve">Whilst the Central Lancashire Core Strategy was adopted in July 2012 (hence is now over seven years old), the </w:t>
      </w:r>
      <w:r w:rsidR="00EF2DE6">
        <w:rPr>
          <w:rFonts w:ascii="Arial" w:hAnsi="Arial" w:cs="Arial"/>
          <w:sz w:val="24"/>
          <w:szCs w:val="24"/>
        </w:rPr>
        <w:t>Councils</w:t>
      </w:r>
      <w:r w:rsidR="00486893">
        <w:rPr>
          <w:rFonts w:ascii="Arial" w:hAnsi="Arial" w:cs="Arial"/>
          <w:sz w:val="24"/>
          <w:szCs w:val="24"/>
        </w:rPr>
        <w:t xml:space="preserve"> have collectively continued to use the housing requirements contained within Policy 4</w:t>
      </w:r>
      <w:r>
        <w:rPr>
          <w:rFonts w:ascii="Arial" w:hAnsi="Arial" w:cs="Arial"/>
          <w:sz w:val="24"/>
          <w:szCs w:val="24"/>
        </w:rPr>
        <w:t xml:space="preserve"> in order</w:t>
      </w:r>
      <w:r w:rsidR="00860004">
        <w:rPr>
          <w:rFonts w:ascii="Arial" w:hAnsi="Arial" w:cs="Arial"/>
          <w:sz w:val="24"/>
          <w:szCs w:val="24"/>
        </w:rPr>
        <w:t xml:space="preserve"> to ensure the OAN across Central Lancashire continued to be met</w:t>
      </w:r>
      <w:r>
        <w:rPr>
          <w:rFonts w:ascii="Arial" w:hAnsi="Arial" w:cs="Arial"/>
          <w:sz w:val="24"/>
          <w:szCs w:val="24"/>
        </w:rPr>
        <w:t>, as established in the SHMA</w:t>
      </w:r>
      <w:r w:rsidR="00860004">
        <w:rPr>
          <w:rFonts w:ascii="Arial" w:hAnsi="Arial" w:cs="Arial"/>
          <w:sz w:val="24"/>
          <w:szCs w:val="24"/>
        </w:rPr>
        <w:t>.</w:t>
      </w:r>
    </w:p>
    <w:p w14:paraId="24657DC2" w14:textId="5E762AE4" w:rsidR="00860004" w:rsidRDefault="00A60F3C" w:rsidP="008D1C98">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The approach set out in paragraph 5.1 was agreed in the 2017 MOU. This revised</w:t>
      </w:r>
      <w:r w:rsidR="00860004">
        <w:rPr>
          <w:rFonts w:ascii="Arial" w:hAnsi="Arial" w:cs="Arial"/>
          <w:sz w:val="24"/>
          <w:szCs w:val="24"/>
        </w:rPr>
        <w:t xml:space="preserve"> M</w:t>
      </w:r>
      <w:r w:rsidR="00C8642B">
        <w:rPr>
          <w:rFonts w:ascii="Arial" w:hAnsi="Arial" w:cs="Arial"/>
          <w:sz w:val="24"/>
          <w:szCs w:val="24"/>
        </w:rPr>
        <w:t>O</w:t>
      </w:r>
      <w:r>
        <w:rPr>
          <w:rFonts w:ascii="Arial" w:hAnsi="Arial" w:cs="Arial"/>
          <w:sz w:val="24"/>
          <w:szCs w:val="24"/>
        </w:rPr>
        <w:t>U is n</w:t>
      </w:r>
      <w:r w:rsidR="00903A30">
        <w:rPr>
          <w:rFonts w:ascii="Arial" w:hAnsi="Arial" w:cs="Arial"/>
          <w:sz w:val="24"/>
          <w:szCs w:val="24"/>
        </w:rPr>
        <w:t>ecessitated as a result of the significant shift in national policy since 2017.</w:t>
      </w:r>
    </w:p>
    <w:p w14:paraId="341A6CF8" w14:textId="33C6FDDB" w:rsidR="00C8642B" w:rsidRDefault="00A60F3C" w:rsidP="007C21AF">
      <w:pPr>
        <w:ind w:left="720" w:hanging="720"/>
        <w:jc w:val="both"/>
        <w:rPr>
          <w:rFonts w:ascii="Arial" w:hAnsi="Arial" w:cs="Arial"/>
          <w:sz w:val="24"/>
          <w:szCs w:val="24"/>
        </w:rPr>
      </w:pPr>
      <w:r>
        <w:rPr>
          <w:rFonts w:ascii="Arial" w:hAnsi="Arial" w:cs="Arial"/>
          <w:sz w:val="24"/>
          <w:szCs w:val="24"/>
        </w:rPr>
        <w:t>5.3</w:t>
      </w:r>
      <w:r w:rsidR="00903A30">
        <w:rPr>
          <w:rFonts w:ascii="Arial" w:hAnsi="Arial" w:cs="Arial"/>
          <w:sz w:val="24"/>
          <w:szCs w:val="24"/>
        </w:rPr>
        <w:tab/>
        <w:t xml:space="preserve">Adopting the standard method formula to Central Lancashire, the following shows a breakdown of the minimum number of homes </w:t>
      </w:r>
      <w:r w:rsidR="00EE2FE1">
        <w:rPr>
          <w:rFonts w:ascii="Arial" w:hAnsi="Arial" w:cs="Arial"/>
          <w:sz w:val="24"/>
          <w:szCs w:val="24"/>
        </w:rPr>
        <w:t>(</w:t>
      </w:r>
      <w:r w:rsidR="00555FFE">
        <w:rPr>
          <w:rFonts w:ascii="Arial" w:hAnsi="Arial" w:cs="Arial"/>
          <w:sz w:val="24"/>
          <w:szCs w:val="24"/>
        </w:rPr>
        <w:t xml:space="preserve">in accordance with the formula at the time of adoption) </w:t>
      </w:r>
      <w:r w:rsidR="00903A30">
        <w:rPr>
          <w:rFonts w:ascii="Arial" w:hAnsi="Arial" w:cs="Arial"/>
          <w:sz w:val="24"/>
          <w:szCs w:val="24"/>
        </w:rPr>
        <w:t>which need to be planned for currently:</w:t>
      </w:r>
    </w:p>
    <w:p w14:paraId="7893E2E2" w14:textId="5C488586" w:rsidR="00903A30" w:rsidRDefault="00903A30" w:rsidP="00C8642B">
      <w:pPr>
        <w:ind w:left="720" w:firstLine="720"/>
        <w:jc w:val="both"/>
        <w:rPr>
          <w:rFonts w:ascii="Arial" w:hAnsi="Arial" w:cs="Arial"/>
          <w:sz w:val="24"/>
          <w:szCs w:val="24"/>
        </w:rPr>
      </w:pPr>
      <w:r>
        <w:rPr>
          <w:rFonts w:ascii="Arial" w:hAnsi="Arial" w:cs="Arial"/>
          <w:sz w:val="24"/>
          <w:szCs w:val="24"/>
        </w:rPr>
        <w:t>Preston:</w:t>
      </w:r>
      <w:r>
        <w:rPr>
          <w:rFonts w:ascii="Arial" w:hAnsi="Arial" w:cs="Arial"/>
          <w:sz w:val="24"/>
          <w:szCs w:val="24"/>
        </w:rPr>
        <w:tab/>
      </w:r>
      <w:r>
        <w:rPr>
          <w:rFonts w:ascii="Arial" w:hAnsi="Arial" w:cs="Arial"/>
          <w:sz w:val="24"/>
          <w:szCs w:val="24"/>
        </w:rPr>
        <w:tab/>
        <w:t>241 dwellings pa</w:t>
      </w:r>
      <w:r w:rsidR="00A60F3C">
        <w:rPr>
          <w:rFonts w:ascii="Arial" w:hAnsi="Arial" w:cs="Arial"/>
          <w:sz w:val="24"/>
          <w:szCs w:val="24"/>
        </w:rPr>
        <w:t xml:space="preserve"> (23%)</w:t>
      </w:r>
    </w:p>
    <w:p w14:paraId="28D9959B" w14:textId="1237F3F3" w:rsidR="00903A30" w:rsidRDefault="009724C4" w:rsidP="008D1C98">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206</w:t>
      </w:r>
      <w:r w:rsidR="00903A30">
        <w:rPr>
          <w:rFonts w:ascii="Arial" w:hAnsi="Arial" w:cs="Arial"/>
          <w:sz w:val="24"/>
          <w:szCs w:val="24"/>
        </w:rPr>
        <w:t xml:space="preserve"> dwellings pa</w:t>
      </w:r>
      <w:r w:rsidR="00A60F3C">
        <w:rPr>
          <w:rFonts w:ascii="Arial" w:hAnsi="Arial" w:cs="Arial"/>
          <w:sz w:val="24"/>
          <w:szCs w:val="24"/>
        </w:rPr>
        <w:t xml:space="preserve"> (20%)</w:t>
      </w:r>
    </w:p>
    <w:p w14:paraId="25BF3892" w14:textId="09431B64" w:rsidR="00903A30" w:rsidRDefault="00903A30" w:rsidP="008D1C98">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579 dwellings pa</w:t>
      </w:r>
      <w:r w:rsidR="00A60F3C">
        <w:rPr>
          <w:rFonts w:ascii="Arial" w:hAnsi="Arial" w:cs="Arial"/>
          <w:sz w:val="24"/>
          <w:szCs w:val="24"/>
        </w:rPr>
        <w:t xml:space="preserve"> (57%)</w:t>
      </w:r>
    </w:p>
    <w:p w14:paraId="3841B1CD" w14:textId="3A60FACD" w:rsidR="00903A30" w:rsidRPr="00903A30" w:rsidRDefault="00903A30" w:rsidP="008D1C98">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9724C4">
        <w:rPr>
          <w:rFonts w:ascii="Arial" w:hAnsi="Arial" w:cs="Arial"/>
          <w:b/>
          <w:sz w:val="24"/>
          <w:szCs w:val="24"/>
        </w:rPr>
        <w:t>Total:</w:t>
      </w:r>
      <w:r w:rsidR="009724C4">
        <w:rPr>
          <w:rFonts w:ascii="Arial" w:hAnsi="Arial" w:cs="Arial"/>
          <w:b/>
          <w:sz w:val="24"/>
          <w:szCs w:val="24"/>
        </w:rPr>
        <w:tab/>
      </w:r>
      <w:r w:rsidR="009724C4">
        <w:rPr>
          <w:rFonts w:ascii="Arial" w:hAnsi="Arial" w:cs="Arial"/>
          <w:b/>
          <w:sz w:val="24"/>
          <w:szCs w:val="24"/>
        </w:rPr>
        <w:tab/>
      </w:r>
      <w:r w:rsidR="009724C4">
        <w:rPr>
          <w:rFonts w:ascii="Arial" w:hAnsi="Arial" w:cs="Arial"/>
          <w:b/>
          <w:sz w:val="24"/>
          <w:szCs w:val="24"/>
        </w:rPr>
        <w:tab/>
        <w:t>1,026</w:t>
      </w:r>
      <w:r w:rsidRPr="00903A30">
        <w:rPr>
          <w:rFonts w:ascii="Arial" w:hAnsi="Arial" w:cs="Arial"/>
          <w:b/>
          <w:sz w:val="24"/>
          <w:szCs w:val="24"/>
        </w:rPr>
        <w:t xml:space="preserve"> dwellings pa</w:t>
      </w:r>
      <w:r w:rsidR="00A60F3C">
        <w:rPr>
          <w:rFonts w:ascii="Arial" w:hAnsi="Arial" w:cs="Arial"/>
          <w:b/>
          <w:sz w:val="24"/>
          <w:szCs w:val="24"/>
        </w:rPr>
        <w:t xml:space="preserve"> (100%)</w:t>
      </w:r>
    </w:p>
    <w:p w14:paraId="0E4DC6E1" w14:textId="1188C7DB" w:rsidR="00903A30" w:rsidRDefault="00A60F3C" w:rsidP="008D1C98">
      <w:pPr>
        <w:ind w:left="720" w:hanging="720"/>
        <w:jc w:val="both"/>
        <w:rPr>
          <w:rFonts w:ascii="Arial" w:hAnsi="Arial" w:cs="Arial"/>
          <w:sz w:val="24"/>
          <w:szCs w:val="24"/>
        </w:rPr>
      </w:pPr>
      <w:r>
        <w:rPr>
          <w:rFonts w:ascii="Arial" w:hAnsi="Arial" w:cs="Arial"/>
          <w:sz w:val="24"/>
          <w:szCs w:val="24"/>
        </w:rPr>
        <w:t>5.4</w:t>
      </w:r>
      <w:r w:rsidR="00903A30">
        <w:rPr>
          <w:rFonts w:ascii="Arial" w:hAnsi="Arial" w:cs="Arial"/>
          <w:sz w:val="24"/>
          <w:szCs w:val="24"/>
        </w:rPr>
        <w:tab/>
        <w:t>The standard method formula would therefore suggest that the minimum number of homes which need to be delivere</w:t>
      </w:r>
      <w:r w:rsidR="009724C4">
        <w:rPr>
          <w:rFonts w:ascii="Arial" w:hAnsi="Arial" w:cs="Arial"/>
          <w:sz w:val="24"/>
          <w:szCs w:val="24"/>
        </w:rPr>
        <w:t xml:space="preserve">d in Central Lancashire is </w:t>
      </w:r>
      <w:r w:rsidR="003E46E1">
        <w:rPr>
          <w:rFonts w:ascii="Arial" w:hAnsi="Arial" w:cs="Arial"/>
          <w:sz w:val="24"/>
          <w:szCs w:val="24"/>
        </w:rPr>
        <w:t xml:space="preserve">currently </w:t>
      </w:r>
      <w:r w:rsidR="009724C4">
        <w:rPr>
          <w:rFonts w:ascii="Arial" w:hAnsi="Arial" w:cs="Arial"/>
          <w:sz w:val="24"/>
          <w:szCs w:val="24"/>
        </w:rPr>
        <w:t>1,026</w:t>
      </w:r>
      <w:r w:rsidR="00903A30">
        <w:rPr>
          <w:rFonts w:ascii="Arial" w:hAnsi="Arial" w:cs="Arial"/>
          <w:sz w:val="24"/>
          <w:szCs w:val="24"/>
        </w:rPr>
        <w:t xml:space="preserve"> every year. A figure</w:t>
      </w:r>
      <w:r w:rsidR="00DA5C37">
        <w:rPr>
          <w:rFonts w:ascii="Arial" w:hAnsi="Arial" w:cs="Arial"/>
          <w:sz w:val="24"/>
          <w:szCs w:val="24"/>
        </w:rPr>
        <w:t>, in overall terms, which is</w:t>
      </w:r>
      <w:r w:rsidR="00903A30">
        <w:rPr>
          <w:rFonts w:ascii="Arial" w:hAnsi="Arial" w:cs="Arial"/>
          <w:sz w:val="24"/>
          <w:szCs w:val="24"/>
        </w:rPr>
        <w:t xml:space="preserve"> similar to the 1,184 OAN figure </w:t>
      </w:r>
      <w:r w:rsidR="00DA5C37">
        <w:rPr>
          <w:rFonts w:ascii="Arial" w:hAnsi="Arial" w:cs="Arial"/>
          <w:sz w:val="24"/>
          <w:szCs w:val="24"/>
        </w:rPr>
        <w:t>from the 2017 SHMA.</w:t>
      </w:r>
    </w:p>
    <w:p w14:paraId="734EC5ED" w14:textId="757F311C" w:rsidR="00A320D4" w:rsidRDefault="00A60F3C" w:rsidP="008D1C98">
      <w:pPr>
        <w:ind w:left="720" w:hanging="720"/>
        <w:jc w:val="both"/>
        <w:rPr>
          <w:rFonts w:ascii="Arial" w:hAnsi="Arial" w:cs="Arial"/>
          <w:sz w:val="24"/>
          <w:szCs w:val="24"/>
        </w:rPr>
      </w:pPr>
      <w:r>
        <w:rPr>
          <w:rFonts w:ascii="Arial" w:hAnsi="Arial" w:cs="Arial"/>
          <w:sz w:val="24"/>
          <w:szCs w:val="24"/>
        </w:rPr>
        <w:t>5.5</w:t>
      </w:r>
      <w:r w:rsidR="00A320D4">
        <w:rPr>
          <w:rFonts w:ascii="Arial" w:hAnsi="Arial" w:cs="Arial"/>
          <w:sz w:val="24"/>
          <w:szCs w:val="24"/>
        </w:rPr>
        <w:tab/>
      </w:r>
      <w:r w:rsidR="00555FFE">
        <w:rPr>
          <w:rFonts w:ascii="Arial" w:hAnsi="Arial" w:cs="Arial"/>
          <w:sz w:val="24"/>
          <w:szCs w:val="24"/>
        </w:rPr>
        <w:t>T</w:t>
      </w:r>
      <w:r w:rsidR="00A320D4">
        <w:rPr>
          <w:rFonts w:ascii="Arial" w:hAnsi="Arial" w:cs="Arial"/>
          <w:sz w:val="24"/>
          <w:szCs w:val="24"/>
        </w:rPr>
        <w:t xml:space="preserve">he current standard method formula is predicated on ONS based household projections, which are published every two years, the resultant minimum number of homes </w:t>
      </w:r>
      <w:r w:rsidR="000F47EB">
        <w:rPr>
          <w:rFonts w:ascii="Arial" w:hAnsi="Arial" w:cs="Arial"/>
          <w:sz w:val="24"/>
          <w:szCs w:val="24"/>
        </w:rPr>
        <w:t>needed is a fluctuating amount.</w:t>
      </w:r>
    </w:p>
    <w:p w14:paraId="44A407C8" w14:textId="33CE2343" w:rsidR="00A609F9" w:rsidRDefault="00A60F3C" w:rsidP="00EE2FE1">
      <w:pPr>
        <w:ind w:left="720" w:hanging="720"/>
        <w:jc w:val="both"/>
        <w:rPr>
          <w:rFonts w:ascii="Arial" w:hAnsi="Arial" w:cs="Arial"/>
          <w:sz w:val="24"/>
          <w:szCs w:val="24"/>
        </w:rPr>
      </w:pPr>
      <w:r>
        <w:rPr>
          <w:rFonts w:ascii="Arial" w:hAnsi="Arial" w:cs="Arial"/>
          <w:sz w:val="24"/>
          <w:szCs w:val="24"/>
        </w:rPr>
        <w:t>5.6</w:t>
      </w:r>
      <w:r w:rsidR="00002184">
        <w:rPr>
          <w:rFonts w:ascii="Arial" w:hAnsi="Arial" w:cs="Arial"/>
          <w:sz w:val="24"/>
          <w:szCs w:val="24"/>
        </w:rPr>
        <w:tab/>
        <w:t>T</w:t>
      </w:r>
      <w:r w:rsidR="00A320D4">
        <w:rPr>
          <w:rFonts w:ascii="Arial" w:hAnsi="Arial" w:cs="Arial"/>
          <w:sz w:val="24"/>
          <w:szCs w:val="24"/>
        </w:rPr>
        <w:t xml:space="preserve">he next ONS household </w:t>
      </w:r>
      <w:r w:rsidR="00421A0D">
        <w:rPr>
          <w:rFonts w:ascii="Arial" w:hAnsi="Arial" w:cs="Arial"/>
          <w:sz w:val="24"/>
          <w:szCs w:val="24"/>
        </w:rPr>
        <w:t xml:space="preserve">projections are scheduled for publication in </w:t>
      </w:r>
      <w:proofErr w:type="gramStart"/>
      <w:r w:rsidR="00421A0D">
        <w:rPr>
          <w:rFonts w:ascii="Arial" w:hAnsi="Arial" w:cs="Arial"/>
          <w:sz w:val="24"/>
          <w:szCs w:val="24"/>
        </w:rPr>
        <w:t>Summer</w:t>
      </w:r>
      <w:proofErr w:type="gramEnd"/>
      <w:r w:rsidR="00421A0D">
        <w:rPr>
          <w:rFonts w:ascii="Arial" w:hAnsi="Arial" w:cs="Arial"/>
          <w:sz w:val="24"/>
          <w:szCs w:val="24"/>
        </w:rPr>
        <w:t xml:space="preserve"> 2020. These will have a base date of </w:t>
      </w:r>
      <w:r w:rsidR="00E4537E">
        <w:rPr>
          <w:rFonts w:ascii="Arial" w:hAnsi="Arial" w:cs="Arial"/>
          <w:sz w:val="24"/>
          <w:szCs w:val="24"/>
        </w:rPr>
        <w:t xml:space="preserve">April </w:t>
      </w:r>
      <w:r w:rsidR="00421A0D">
        <w:rPr>
          <w:rFonts w:ascii="Arial" w:hAnsi="Arial" w:cs="Arial"/>
          <w:sz w:val="24"/>
          <w:szCs w:val="24"/>
        </w:rPr>
        <w:t>2018.</w:t>
      </w:r>
    </w:p>
    <w:p w14:paraId="062B94F7" w14:textId="77777777" w:rsidR="00A60F3C" w:rsidRDefault="00A60F3C" w:rsidP="00EE2FE1">
      <w:pPr>
        <w:ind w:left="720" w:hanging="720"/>
        <w:jc w:val="both"/>
        <w:rPr>
          <w:rFonts w:ascii="Arial" w:hAnsi="Arial" w:cs="Arial"/>
          <w:sz w:val="24"/>
          <w:szCs w:val="24"/>
        </w:rPr>
      </w:pPr>
    </w:p>
    <w:p w14:paraId="50FE701E" w14:textId="77777777" w:rsidR="00A60F3C" w:rsidRDefault="00A60F3C" w:rsidP="00EE2FE1">
      <w:pPr>
        <w:ind w:left="720" w:hanging="720"/>
        <w:jc w:val="both"/>
        <w:rPr>
          <w:rFonts w:ascii="Arial" w:hAnsi="Arial" w:cs="Arial"/>
          <w:sz w:val="24"/>
          <w:szCs w:val="24"/>
        </w:rPr>
      </w:pPr>
    </w:p>
    <w:p w14:paraId="682C40A3" w14:textId="42E56996" w:rsidR="00950269" w:rsidRPr="00E801BC" w:rsidRDefault="00B57879" w:rsidP="00453566">
      <w:pPr>
        <w:jc w:val="both"/>
        <w:rPr>
          <w:rFonts w:ascii="Arial" w:hAnsi="Arial" w:cs="Arial"/>
          <w:b/>
          <w:sz w:val="24"/>
          <w:szCs w:val="24"/>
        </w:rPr>
      </w:pPr>
      <w:r>
        <w:rPr>
          <w:rFonts w:ascii="Arial" w:hAnsi="Arial" w:cs="Arial"/>
          <w:b/>
          <w:sz w:val="24"/>
          <w:szCs w:val="24"/>
        </w:rPr>
        <w:lastRenderedPageBreak/>
        <w:t>6</w:t>
      </w:r>
      <w:r w:rsidR="00950269" w:rsidRPr="00E801BC">
        <w:rPr>
          <w:rFonts w:ascii="Arial" w:hAnsi="Arial" w:cs="Arial"/>
          <w:b/>
          <w:sz w:val="24"/>
          <w:szCs w:val="24"/>
        </w:rPr>
        <w:t>.</w:t>
      </w:r>
      <w:r w:rsidR="00950269" w:rsidRPr="00E801BC">
        <w:rPr>
          <w:rFonts w:ascii="Arial" w:hAnsi="Arial" w:cs="Arial"/>
          <w:b/>
          <w:sz w:val="24"/>
          <w:szCs w:val="24"/>
        </w:rPr>
        <w:tab/>
      </w:r>
      <w:r>
        <w:rPr>
          <w:rFonts w:ascii="Arial" w:hAnsi="Arial" w:cs="Arial"/>
          <w:b/>
          <w:sz w:val="24"/>
          <w:szCs w:val="24"/>
        </w:rPr>
        <w:t xml:space="preserve">Distribution of Housing Provision in </w:t>
      </w:r>
      <w:r w:rsidR="00CC7F80">
        <w:rPr>
          <w:rFonts w:ascii="Arial" w:hAnsi="Arial" w:cs="Arial"/>
          <w:b/>
          <w:sz w:val="24"/>
          <w:szCs w:val="24"/>
        </w:rPr>
        <w:t>Central Lancashire</w:t>
      </w:r>
    </w:p>
    <w:p w14:paraId="4B385E57" w14:textId="52AE2DB4" w:rsidR="002346C2" w:rsidRDefault="0044504B" w:rsidP="002346C2">
      <w:pPr>
        <w:ind w:left="720" w:hanging="720"/>
        <w:jc w:val="both"/>
        <w:rPr>
          <w:rFonts w:ascii="Arial" w:hAnsi="Arial" w:cs="Arial"/>
          <w:sz w:val="24"/>
          <w:szCs w:val="24"/>
        </w:rPr>
      </w:pPr>
      <w:r>
        <w:rPr>
          <w:rFonts w:ascii="Arial" w:hAnsi="Arial" w:cs="Arial"/>
          <w:sz w:val="24"/>
          <w:szCs w:val="24"/>
        </w:rPr>
        <w:t>6</w:t>
      </w:r>
      <w:r w:rsidR="00CC7F80">
        <w:rPr>
          <w:rFonts w:ascii="Arial" w:hAnsi="Arial" w:cs="Arial"/>
          <w:sz w:val="24"/>
          <w:szCs w:val="24"/>
        </w:rPr>
        <w:t>.1</w:t>
      </w:r>
      <w:r w:rsidR="00CC7F80">
        <w:rPr>
          <w:rFonts w:ascii="Arial" w:hAnsi="Arial" w:cs="Arial"/>
          <w:sz w:val="24"/>
          <w:szCs w:val="24"/>
        </w:rPr>
        <w:tab/>
      </w:r>
      <w:r w:rsidR="002346C2">
        <w:rPr>
          <w:rFonts w:ascii="Arial" w:hAnsi="Arial" w:cs="Arial"/>
          <w:sz w:val="24"/>
          <w:szCs w:val="24"/>
        </w:rPr>
        <w:t xml:space="preserve">In order to embrace the requirements </w:t>
      </w:r>
      <w:r w:rsidR="005E043D">
        <w:rPr>
          <w:rFonts w:ascii="Arial" w:hAnsi="Arial" w:cs="Arial"/>
          <w:sz w:val="24"/>
          <w:szCs w:val="24"/>
        </w:rPr>
        <w:t xml:space="preserve">of national policy, the </w:t>
      </w:r>
      <w:r w:rsidR="00EF2DE6">
        <w:rPr>
          <w:rFonts w:ascii="Arial" w:hAnsi="Arial" w:cs="Arial"/>
          <w:sz w:val="24"/>
          <w:szCs w:val="24"/>
        </w:rPr>
        <w:t>Councils</w:t>
      </w:r>
      <w:r w:rsidR="002346C2">
        <w:rPr>
          <w:rFonts w:ascii="Arial" w:hAnsi="Arial" w:cs="Arial"/>
          <w:sz w:val="24"/>
          <w:szCs w:val="24"/>
        </w:rPr>
        <w:t xml:space="preserve"> have embarked on a review of the development plan. The aspiration of the Council’s is to have a new Central Lancashire Local Plan in place by the end of 2022. The first formal consultation, an ‘Issues and Options’ document, will be subject to public consultation from November 2019.</w:t>
      </w:r>
    </w:p>
    <w:p w14:paraId="03D1075A" w14:textId="7A93FA2A" w:rsidR="002346C2" w:rsidRDefault="0044504B" w:rsidP="002346C2">
      <w:pPr>
        <w:ind w:left="720" w:hanging="720"/>
        <w:jc w:val="both"/>
        <w:rPr>
          <w:rFonts w:ascii="Arial" w:hAnsi="Arial" w:cs="Arial"/>
          <w:sz w:val="24"/>
          <w:szCs w:val="24"/>
        </w:rPr>
      </w:pPr>
      <w:r>
        <w:rPr>
          <w:rFonts w:ascii="Arial" w:hAnsi="Arial" w:cs="Arial"/>
          <w:sz w:val="24"/>
          <w:szCs w:val="24"/>
        </w:rPr>
        <w:t>6</w:t>
      </w:r>
      <w:r w:rsidR="002346C2">
        <w:rPr>
          <w:rFonts w:ascii="Arial" w:hAnsi="Arial" w:cs="Arial"/>
          <w:sz w:val="24"/>
          <w:szCs w:val="24"/>
        </w:rPr>
        <w:t>.2</w:t>
      </w:r>
      <w:r w:rsidR="002346C2">
        <w:rPr>
          <w:rFonts w:ascii="Arial" w:hAnsi="Arial" w:cs="Arial"/>
          <w:sz w:val="24"/>
          <w:szCs w:val="24"/>
        </w:rPr>
        <w:tab/>
      </w:r>
      <w:r w:rsidR="00934D23">
        <w:rPr>
          <w:rFonts w:ascii="Arial" w:hAnsi="Arial" w:cs="Arial"/>
          <w:sz w:val="24"/>
          <w:szCs w:val="24"/>
        </w:rPr>
        <w:t>In order to inform the new Central Lancashire Local Plan the Council</w:t>
      </w:r>
      <w:r w:rsidR="00EF2DE6">
        <w:rPr>
          <w:rFonts w:ascii="Arial" w:hAnsi="Arial" w:cs="Arial"/>
          <w:sz w:val="24"/>
          <w:szCs w:val="24"/>
        </w:rPr>
        <w:t>s</w:t>
      </w:r>
      <w:r w:rsidR="00934D23">
        <w:rPr>
          <w:rFonts w:ascii="Arial" w:hAnsi="Arial" w:cs="Arial"/>
          <w:sz w:val="24"/>
          <w:szCs w:val="24"/>
        </w:rPr>
        <w:t xml:space="preserve"> have, over the last two years, commissioned a significant amount of evidence to unde</w:t>
      </w:r>
      <w:r w:rsidR="00C8642B">
        <w:rPr>
          <w:rFonts w:ascii="Arial" w:hAnsi="Arial" w:cs="Arial"/>
          <w:sz w:val="24"/>
          <w:szCs w:val="24"/>
        </w:rPr>
        <w:t>rpin the policies and proposal which will form part of the new plan. A key part of the evidence base is an update to the 2017 SHMA</w:t>
      </w:r>
      <w:r w:rsidR="005E043D">
        <w:rPr>
          <w:rFonts w:ascii="Arial" w:hAnsi="Arial" w:cs="Arial"/>
          <w:sz w:val="24"/>
          <w:szCs w:val="24"/>
        </w:rPr>
        <w:t>,</w:t>
      </w:r>
      <w:r w:rsidR="00C8642B">
        <w:rPr>
          <w:rFonts w:ascii="Arial" w:hAnsi="Arial" w:cs="Arial"/>
          <w:sz w:val="24"/>
          <w:szCs w:val="24"/>
        </w:rPr>
        <w:t xml:space="preserve"> in order to account for changes to national policy in the intervening period.</w:t>
      </w:r>
    </w:p>
    <w:p w14:paraId="35A02C7B" w14:textId="53E6F3E3" w:rsidR="00C8642B" w:rsidRDefault="0044504B" w:rsidP="002346C2">
      <w:pPr>
        <w:ind w:left="720" w:hanging="720"/>
        <w:jc w:val="both"/>
        <w:rPr>
          <w:rFonts w:ascii="Arial" w:hAnsi="Arial" w:cs="Arial"/>
          <w:sz w:val="24"/>
          <w:szCs w:val="24"/>
        </w:rPr>
      </w:pPr>
      <w:r>
        <w:rPr>
          <w:rFonts w:ascii="Arial" w:hAnsi="Arial" w:cs="Arial"/>
          <w:sz w:val="24"/>
          <w:szCs w:val="24"/>
        </w:rPr>
        <w:t>6</w:t>
      </w:r>
      <w:r w:rsidR="005E043D">
        <w:rPr>
          <w:rFonts w:ascii="Arial" w:hAnsi="Arial" w:cs="Arial"/>
          <w:sz w:val="24"/>
          <w:szCs w:val="24"/>
        </w:rPr>
        <w:t>.3</w:t>
      </w:r>
      <w:r w:rsidR="005E043D">
        <w:rPr>
          <w:rFonts w:ascii="Arial" w:hAnsi="Arial" w:cs="Arial"/>
          <w:sz w:val="24"/>
          <w:szCs w:val="24"/>
        </w:rPr>
        <w:tab/>
        <w:t>In April 2019</w:t>
      </w:r>
      <w:r w:rsidR="00C8642B">
        <w:rPr>
          <w:rFonts w:ascii="Arial" w:hAnsi="Arial" w:cs="Arial"/>
          <w:sz w:val="24"/>
          <w:szCs w:val="24"/>
        </w:rPr>
        <w:t xml:space="preserve">, the Council’s commissioned </w:t>
      </w:r>
      <w:r w:rsidR="00E04094">
        <w:rPr>
          <w:rFonts w:ascii="Arial" w:hAnsi="Arial" w:cs="Arial"/>
          <w:sz w:val="24"/>
          <w:szCs w:val="24"/>
        </w:rPr>
        <w:t xml:space="preserve">consultants </w:t>
      </w:r>
      <w:r w:rsidR="00C8642B">
        <w:rPr>
          <w:rFonts w:ascii="Arial" w:hAnsi="Arial" w:cs="Arial"/>
          <w:sz w:val="24"/>
          <w:szCs w:val="24"/>
        </w:rPr>
        <w:t xml:space="preserve">Iceni to </w:t>
      </w:r>
      <w:proofErr w:type="gramStart"/>
      <w:r w:rsidR="00C8642B">
        <w:rPr>
          <w:rFonts w:ascii="Arial" w:hAnsi="Arial" w:cs="Arial"/>
          <w:sz w:val="24"/>
          <w:szCs w:val="24"/>
        </w:rPr>
        <w:t>advise</w:t>
      </w:r>
      <w:proofErr w:type="gramEnd"/>
      <w:r w:rsidR="00C8642B">
        <w:rPr>
          <w:rFonts w:ascii="Arial" w:hAnsi="Arial" w:cs="Arial"/>
          <w:sz w:val="24"/>
          <w:szCs w:val="24"/>
        </w:rPr>
        <w:t xml:space="preserve"> on the implication</w:t>
      </w:r>
      <w:r w:rsidR="003E46E1">
        <w:rPr>
          <w:rFonts w:ascii="Arial" w:hAnsi="Arial" w:cs="Arial"/>
          <w:sz w:val="24"/>
          <w:szCs w:val="24"/>
        </w:rPr>
        <w:t>s of the standard method</w:t>
      </w:r>
      <w:r w:rsidR="00955781">
        <w:rPr>
          <w:rFonts w:ascii="Arial" w:hAnsi="Arial" w:cs="Arial"/>
          <w:sz w:val="24"/>
          <w:szCs w:val="24"/>
        </w:rPr>
        <w:t xml:space="preserve"> on</w:t>
      </w:r>
      <w:r w:rsidR="00C8642B">
        <w:rPr>
          <w:rFonts w:ascii="Arial" w:hAnsi="Arial" w:cs="Arial"/>
          <w:sz w:val="24"/>
          <w:szCs w:val="24"/>
        </w:rPr>
        <w:t xml:space="preserve"> </w:t>
      </w:r>
      <w:r w:rsidR="005E043D">
        <w:rPr>
          <w:rFonts w:ascii="Arial" w:hAnsi="Arial" w:cs="Arial"/>
          <w:sz w:val="24"/>
          <w:szCs w:val="24"/>
        </w:rPr>
        <w:t xml:space="preserve">the </w:t>
      </w:r>
      <w:r w:rsidR="00C8642B">
        <w:rPr>
          <w:rFonts w:ascii="Arial" w:hAnsi="Arial" w:cs="Arial"/>
          <w:sz w:val="24"/>
          <w:szCs w:val="24"/>
        </w:rPr>
        <w:t>housing need</w:t>
      </w:r>
      <w:r w:rsidR="005E043D">
        <w:rPr>
          <w:rFonts w:ascii="Arial" w:hAnsi="Arial" w:cs="Arial"/>
          <w:sz w:val="24"/>
          <w:szCs w:val="24"/>
        </w:rPr>
        <w:t>, provision and distribution</w:t>
      </w:r>
      <w:r w:rsidR="00C8642B">
        <w:rPr>
          <w:rFonts w:ascii="Arial" w:hAnsi="Arial" w:cs="Arial"/>
          <w:sz w:val="24"/>
          <w:szCs w:val="24"/>
        </w:rPr>
        <w:t xml:space="preserve"> in Central Lancashire</w:t>
      </w:r>
      <w:r w:rsidR="005E043D">
        <w:rPr>
          <w:rFonts w:ascii="Arial" w:hAnsi="Arial" w:cs="Arial"/>
          <w:sz w:val="24"/>
          <w:szCs w:val="24"/>
        </w:rPr>
        <w:t xml:space="preserve">. This evidence was required </w:t>
      </w:r>
      <w:r w:rsidR="00C8642B">
        <w:rPr>
          <w:rFonts w:ascii="Arial" w:hAnsi="Arial" w:cs="Arial"/>
          <w:sz w:val="24"/>
          <w:szCs w:val="24"/>
        </w:rPr>
        <w:t>in order to inform the preparation of new planning policy, but also to inform a new interim arrangement, as outlined in this MOU.</w:t>
      </w:r>
    </w:p>
    <w:p w14:paraId="242F74E1" w14:textId="32D89886" w:rsidR="00C8642B" w:rsidRDefault="0044504B" w:rsidP="002346C2">
      <w:pPr>
        <w:ind w:left="720" w:hanging="720"/>
        <w:jc w:val="both"/>
        <w:rPr>
          <w:rFonts w:ascii="Arial" w:hAnsi="Arial" w:cs="Arial"/>
          <w:sz w:val="24"/>
          <w:szCs w:val="24"/>
        </w:rPr>
      </w:pPr>
      <w:r>
        <w:rPr>
          <w:rFonts w:ascii="Arial" w:hAnsi="Arial" w:cs="Arial"/>
          <w:sz w:val="24"/>
          <w:szCs w:val="24"/>
        </w:rPr>
        <w:t>6</w:t>
      </w:r>
      <w:r w:rsidR="00C8642B">
        <w:rPr>
          <w:rFonts w:ascii="Arial" w:hAnsi="Arial" w:cs="Arial"/>
          <w:sz w:val="24"/>
          <w:szCs w:val="24"/>
        </w:rPr>
        <w:t>.4</w:t>
      </w:r>
      <w:r w:rsidR="00C8642B">
        <w:rPr>
          <w:rFonts w:ascii="Arial" w:hAnsi="Arial" w:cs="Arial"/>
          <w:sz w:val="24"/>
          <w:szCs w:val="24"/>
        </w:rPr>
        <w:tab/>
        <w:t xml:space="preserve">The Central Lancashire Housing Study </w:t>
      </w:r>
      <w:r w:rsidR="00BF51F9">
        <w:rPr>
          <w:rFonts w:ascii="Arial" w:hAnsi="Arial" w:cs="Arial"/>
          <w:sz w:val="24"/>
          <w:szCs w:val="24"/>
        </w:rPr>
        <w:t xml:space="preserve">(the Study) </w:t>
      </w:r>
      <w:r w:rsidR="00C8642B">
        <w:rPr>
          <w:rFonts w:ascii="Arial" w:hAnsi="Arial" w:cs="Arial"/>
          <w:sz w:val="24"/>
          <w:szCs w:val="24"/>
        </w:rPr>
        <w:t xml:space="preserve">produced by Iceni has been completed and is available to view </w:t>
      </w:r>
      <w:hyperlink r:id="rId9" w:history="1">
        <w:r w:rsidR="00C8642B" w:rsidRPr="00487759">
          <w:rPr>
            <w:rStyle w:val="Hyperlink"/>
            <w:rFonts w:ascii="Arial" w:hAnsi="Arial" w:cs="Arial"/>
            <w:sz w:val="24"/>
            <w:szCs w:val="24"/>
          </w:rPr>
          <w:t>here</w:t>
        </w:r>
      </w:hyperlink>
      <w:r w:rsidR="00C8642B">
        <w:rPr>
          <w:rFonts w:ascii="Arial" w:hAnsi="Arial" w:cs="Arial"/>
          <w:sz w:val="24"/>
          <w:szCs w:val="24"/>
        </w:rPr>
        <w:t>.</w:t>
      </w:r>
    </w:p>
    <w:p w14:paraId="69BB54D5" w14:textId="1E6F5418" w:rsidR="004A73BD" w:rsidRDefault="0044504B" w:rsidP="004A73BD">
      <w:pPr>
        <w:ind w:left="720" w:hanging="720"/>
        <w:jc w:val="both"/>
        <w:rPr>
          <w:rFonts w:ascii="Arial" w:hAnsi="Arial" w:cs="Arial"/>
          <w:sz w:val="24"/>
          <w:szCs w:val="24"/>
        </w:rPr>
      </w:pPr>
      <w:r>
        <w:rPr>
          <w:rFonts w:ascii="Arial" w:hAnsi="Arial" w:cs="Arial"/>
          <w:sz w:val="24"/>
          <w:szCs w:val="24"/>
        </w:rPr>
        <w:t>6</w:t>
      </w:r>
      <w:r w:rsidR="002679C1">
        <w:rPr>
          <w:rFonts w:ascii="Arial" w:hAnsi="Arial" w:cs="Arial"/>
          <w:sz w:val="24"/>
          <w:szCs w:val="24"/>
        </w:rPr>
        <w:t>.5</w:t>
      </w:r>
      <w:r w:rsidR="002679C1">
        <w:rPr>
          <w:rFonts w:ascii="Arial" w:hAnsi="Arial" w:cs="Arial"/>
          <w:sz w:val="24"/>
          <w:szCs w:val="24"/>
        </w:rPr>
        <w:tab/>
      </w:r>
      <w:r w:rsidR="0032181C">
        <w:rPr>
          <w:rFonts w:ascii="Arial" w:hAnsi="Arial" w:cs="Arial"/>
          <w:sz w:val="24"/>
          <w:szCs w:val="24"/>
        </w:rPr>
        <w:t xml:space="preserve">In accordance with the Framework and PPG, the Study </w:t>
      </w:r>
      <w:r w:rsidR="00825B9C">
        <w:rPr>
          <w:rFonts w:ascii="Arial" w:hAnsi="Arial" w:cs="Arial"/>
          <w:sz w:val="24"/>
          <w:szCs w:val="24"/>
        </w:rPr>
        <w:t xml:space="preserve">concludes that the relevant minimum number of homes needed in Central Lancashire every year is </w:t>
      </w:r>
      <w:r w:rsidR="003E46E1">
        <w:rPr>
          <w:rFonts w:ascii="Arial" w:hAnsi="Arial" w:cs="Arial"/>
          <w:sz w:val="24"/>
          <w:szCs w:val="24"/>
        </w:rPr>
        <w:t xml:space="preserve">currently </w:t>
      </w:r>
      <w:r w:rsidR="00825B9C">
        <w:rPr>
          <w:rFonts w:ascii="Arial" w:hAnsi="Arial" w:cs="Arial"/>
          <w:sz w:val="24"/>
          <w:szCs w:val="24"/>
        </w:rPr>
        <w:t>1,026.</w:t>
      </w:r>
      <w:r w:rsidR="007B61B3">
        <w:rPr>
          <w:rFonts w:ascii="Arial" w:hAnsi="Arial" w:cs="Arial"/>
          <w:sz w:val="24"/>
          <w:szCs w:val="24"/>
        </w:rPr>
        <w:t xml:space="preserve"> This revised MOU therefore redistributes the minimum local housing need figures generated by the standard method.</w:t>
      </w:r>
    </w:p>
    <w:p w14:paraId="577612E5" w14:textId="3CFD5B1C" w:rsidR="00825B9C" w:rsidRDefault="0044504B" w:rsidP="002346C2">
      <w:pPr>
        <w:ind w:left="720" w:hanging="720"/>
        <w:jc w:val="both"/>
        <w:rPr>
          <w:rFonts w:ascii="Arial" w:hAnsi="Arial" w:cs="Arial"/>
          <w:sz w:val="24"/>
          <w:szCs w:val="24"/>
        </w:rPr>
      </w:pPr>
      <w:r>
        <w:rPr>
          <w:rFonts w:ascii="Arial" w:hAnsi="Arial" w:cs="Arial"/>
          <w:sz w:val="24"/>
          <w:szCs w:val="24"/>
        </w:rPr>
        <w:t>6</w:t>
      </w:r>
      <w:r w:rsidR="00825B9C">
        <w:rPr>
          <w:rFonts w:ascii="Arial" w:hAnsi="Arial" w:cs="Arial"/>
          <w:sz w:val="24"/>
          <w:szCs w:val="24"/>
        </w:rPr>
        <w:t>.6</w:t>
      </w:r>
      <w:r w:rsidR="00825B9C">
        <w:rPr>
          <w:rFonts w:ascii="Arial" w:hAnsi="Arial" w:cs="Arial"/>
          <w:sz w:val="24"/>
          <w:szCs w:val="24"/>
        </w:rPr>
        <w:tab/>
      </w:r>
      <w:r w:rsidR="004A73BD">
        <w:rPr>
          <w:rFonts w:ascii="Arial" w:hAnsi="Arial" w:cs="Arial"/>
          <w:sz w:val="24"/>
          <w:szCs w:val="24"/>
        </w:rPr>
        <w:t>Section 4 of t</w:t>
      </w:r>
      <w:r w:rsidR="00825B9C">
        <w:rPr>
          <w:rFonts w:ascii="Arial" w:hAnsi="Arial" w:cs="Arial"/>
          <w:sz w:val="24"/>
          <w:szCs w:val="24"/>
        </w:rPr>
        <w:t xml:space="preserve">he Study </w:t>
      </w:r>
      <w:r w:rsidR="0027242D">
        <w:rPr>
          <w:rFonts w:ascii="Arial" w:hAnsi="Arial" w:cs="Arial"/>
          <w:sz w:val="24"/>
          <w:szCs w:val="24"/>
        </w:rPr>
        <w:t>specifically deals with the matter of housing distribution in Central Lancashire. Paragraphs 4.1 to 4.43, along with the associated tables and figures (Page 13 to 20), assess various factors influencing the most appropriate distribution of housing need, namely:</w:t>
      </w:r>
    </w:p>
    <w:p w14:paraId="41FAF549" w14:textId="67793DF1" w:rsidR="00825B9C" w:rsidRDefault="00BC6320" w:rsidP="00BC6320">
      <w:pPr>
        <w:pStyle w:val="ListParagraph"/>
        <w:numPr>
          <w:ilvl w:val="0"/>
          <w:numId w:val="29"/>
        </w:numPr>
        <w:jc w:val="both"/>
        <w:rPr>
          <w:rFonts w:ascii="Arial" w:hAnsi="Arial" w:cs="Arial"/>
          <w:sz w:val="24"/>
          <w:szCs w:val="24"/>
        </w:rPr>
      </w:pPr>
      <w:r w:rsidRPr="00BC6320">
        <w:rPr>
          <w:rFonts w:ascii="Arial" w:hAnsi="Arial" w:cs="Arial"/>
          <w:i/>
          <w:sz w:val="24"/>
          <w:szCs w:val="24"/>
        </w:rPr>
        <w:t>Population Distribution</w:t>
      </w:r>
      <w:r>
        <w:rPr>
          <w:rFonts w:ascii="Arial" w:hAnsi="Arial" w:cs="Arial"/>
          <w:sz w:val="24"/>
          <w:szCs w:val="24"/>
        </w:rPr>
        <w:t>: With Preston accounting for 38% of the Central Lancashire population.</w:t>
      </w:r>
    </w:p>
    <w:p w14:paraId="41FB79B7" w14:textId="049E246F" w:rsidR="00BC6320" w:rsidRDefault="00BC6320" w:rsidP="00BC6320">
      <w:pPr>
        <w:pStyle w:val="ListParagraph"/>
        <w:numPr>
          <w:ilvl w:val="0"/>
          <w:numId w:val="29"/>
        </w:numPr>
        <w:jc w:val="both"/>
        <w:rPr>
          <w:rFonts w:ascii="Arial" w:hAnsi="Arial" w:cs="Arial"/>
          <w:sz w:val="24"/>
          <w:szCs w:val="24"/>
        </w:rPr>
      </w:pPr>
      <w:r w:rsidRPr="00BC6320">
        <w:rPr>
          <w:rFonts w:ascii="Arial" w:hAnsi="Arial" w:cs="Arial"/>
          <w:i/>
          <w:sz w:val="24"/>
          <w:szCs w:val="24"/>
        </w:rPr>
        <w:t>Workforce Distribution</w:t>
      </w:r>
      <w:r>
        <w:rPr>
          <w:rFonts w:ascii="Arial" w:hAnsi="Arial" w:cs="Arial"/>
          <w:sz w:val="24"/>
          <w:szCs w:val="24"/>
        </w:rPr>
        <w:t>: Proportionally, the distribution of workforce replicates that of the population.</w:t>
      </w:r>
    </w:p>
    <w:p w14:paraId="41E86B4C" w14:textId="39DF3DA5" w:rsidR="00BC6320" w:rsidRDefault="00BC6320" w:rsidP="00BC6320">
      <w:pPr>
        <w:pStyle w:val="ListParagraph"/>
        <w:numPr>
          <w:ilvl w:val="0"/>
          <w:numId w:val="29"/>
        </w:numPr>
        <w:jc w:val="both"/>
        <w:rPr>
          <w:rFonts w:ascii="Arial" w:hAnsi="Arial" w:cs="Arial"/>
          <w:sz w:val="24"/>
          <w:szCs w:val="24"/>
        </w:rPr>
      </w:pPr>
      <w:r>
        <w:rPr>
          <w:rFonts w:ascii="Arial" w:hAnsi="Arial" w:cs="Arial"/>
          <w:i/>
          <w:sz w:val="24"/>
          <w:szCs w:val="24"/>
        </w:rPr>
        <w:t>Jobs Distribution</w:t>
      </w:r>
      <w:r>
        <w:rPr>
          <w:rFonts w:ascii="Arial" w:hAnsi="Arial" w:cs="Arial"/>
          <w:sz w:val="24"/>
          <w:szCs w:val="24"/>
        </w:rPr>
        <w:t>: Almost half (48%) of jobs are located in Preston, less than a quarter (22%) are located in Chorley.</w:t>
      </w:r>
    </w:p>
    <w:p w14:paraId="444CB8A9" w14:textId="2183A71D" w:rsidR="00BC6320" w:rsidRDefault="00BC6320" w:rsidP="00BC6320">
      <w:pPr>
        <w:pStyle w:val="ListParagraph"/>
        <w:numPr>
          <w:ilvl w:val="0"/>
          <w:numId w:val="29"/>
        </w:numPr>
        <w:jc w:val="both"/>
        <w:rPr>
          <w:rFonts w:ascii="Arial" w:hAnsi="Arial" w:cs="Arial"/>
          <w:sz w:val="24"/>
          <w:szCs w:val="24"/>
        </w:rPr>
      </w:pPr>
      <w:r>
        <w:rPr>
          <w:rFonts w:ascii="Arial" w:hAnsi="Arial" w:cs="Arial"/>
          <w:i/>
          <w:sz w:val="24"/>
          <w:szCs w:val="24"/>
        </w:rPr>
        <w:t>Affordability</w:t>
      </w:r>
      <w:r>
        <w:rPr>
          <w:rFonts w:ascii="Arial" w:hAnsi="Arial" w:cs="Arial"/>
          <w:sz w:val="24"/>
          <w:szCs w:val="24"/>
        </w:rPr>
        <w:t>:</w:t>
      </w:r>
      <w:r w:rsidR="0042292B">
        <w:rPr>
          <w:rFonts w:ascii="Arial" w:hAnsi="Arial" w:cs="Arial"/>
          <w:sz w:val="24"/>
          <w:szCs w:val="24"/>
        </w:rPr>
        <w:t xml:space="preserve"> Preston is the most affordable place to live of the three authorities.</w:t>
      </w:r>
    </w:p>
    <w:p w14:paraId="52AEB8BC" w14:textId="3863253A" w:rsidR="0042292B" w:rsidRDefault="0042292B" w:rsidP="00BC6320">
      <w:pPr>
        <w:pStyle w:val="ListParagraph"/>
        <w:numPr>
          <w:ilvl w:val="0"/>
          <w:numId w:val="29"/>
        </w:numPr>
        <w:jc w:val="both"/>
        <w:rPr>
          <w:rFonts w:ascii="Arial" w:hAnsi="Arial" w:cs="Arial"/>
          <w:sz w:val="24"/>
          <w:szCs w:val="24"/>
        </w:rPr>
      </w:pPr>
      <w:r>
        <w:rPr>
          <w:rFonts w:ascii="Arial" w:hAnsi="Arial" w:cs="Arial"/>
          <w:i/>
          <w:sz w:val="24"/>
          <w:szCs w:val="24"/>
        </w:rPr>
        <w:t>Constraints</w:t>
      </w:r>
      <w:r>
        <w:rPr>
          <w:rFonts w:ascii="Arial" w:hAnsi="Arial" w:cs="Arial"/>
          <w:sz w:val="24"/>
          <w:szCs w:val="24"/>
        </w:rPr>
        <w:t>: Chorley has the highest proportion of land covered by significant constraints</w:t>
      </w:r>
      <w:r w:rsidR="00516812">
        <w:rPr>
          <w:rFonts w:ascii="Arial" w:hAnsi="Arial" w:cs="Arial"/>
          <w:sz w:val="24"/>
          <w:szCs w:val="24"/>
        </w:rPr>
        <w:t>, such as Green Belt</w:t>
      </w:r>
      <w:r>
        <w:rPr>
          <w:rFonts w:ascii="Arial" w:hAnsi="Arial" w:cs="Arial"/>
          <w:sz w:val="24"/>
          <w:szCs w:val="24"/>
        </w:rPr>
        <w:t>.</w:t>
      </w:r>
    </w:p>
    <w:p w14:paraId="4E97F218" w14:textId="56158195" w:rsidR="00516812" w:rsidRDefault="00516812" w:rsidP="00BC6320">
      <w:pPr>
        <w:pStyle w:val="ListParagraph"/>
        <w:numPr>
          <w:ilvl w:val="0"/>
          <w:numId w:val="29"/>
        </w:numPr>
        <w:jc w:val="both"/>
        <w:rPr>
          <w:rFonts w:ascii="Arial" w:hAnsi="Arial" w:cs="Arial"/>
          <w:sz w:val="24"/>
          <w:szCs w:val="24"/>
        </w:rPr>
      </w:pPr>
      <w:r w:rsidRPr="00516812">
        <w:rPr>
          <w:rFonts w:ascii="Arial" w:hAnsi="Arial" w:cs="Arial"/>
          <w:i/>
          <w:sz w:val="24"/>
          <w:szCs w:val="24"/>
        </w:rPr>
        <w:t>Urban Capacity</w:t>
      </w:r>
      <w:r>
        <w:rPr>
          <w:rFonts w:ascii="Arial" w:hAnsi="Arial" w:cs="Arial"/>
          <w:sz w:val="24"/>
          <w:szCs w:val="24"/>
        </w:rPr>
        <w:t xml:space="preserve">: Taking account of land and site availability across Central Lancashire, there is potentially capacity for over 77,000 homes, with the highest proportions being in Preston and South </w:t>
      </w:r>
      <w:proofErr w:type="spellStart"/>
      <w:r>
        <w:rPr>
          <w:rFonts w:ascii="Arial" w:hAnsi="Arial" w:cs="Arial"/>
          <w:sz w:val="24"/>
          <w:szCs w:val="24"/>
        </w:rPr>
        <w:t>Ribble</w:t>
      </w:r>
      <w:proofErr w:type="spellEnd"/>
      <w:r>
        <w:rPr>
          <w:rFonts w:ascii="Arial" w:hAnsi="Arial" w:cs="Arial"/>
          <w:sz w:val="24"/>
          <w:szCs w:val="24"/>
        </w:rPr>
        <w:t>.</w:t>
      </w:r>
    </w:p>
    <w:p w14:paraId="46A94449" w14:textId="77777777" w:rsidR="00350CA9" w:rsidRDefault="0044504B" w:rsidP="003E46E1">
      <w:pPr>
        <w:ind w:left="720" w:hanging="720"/>
        <w:jc w:val="both"/>
        <w:rPr>
          <w:rFonts w:ascii="Arial" w:hAnsi="Arial" w:cs="Arial"/>
          <w:sz w:val="24"/>
          <w:szCs w:val="24"/>
        </w:rPr>
      </w:pPr>
      <w:r>
        <w:rPr>
          <w:rFonts w:ascii="Arial" w:hAnsi="Arial" w:cs="Arial"/>
          <w:sz w:val="24"/>
          <w:szCs w:val="24"/>
        </w:rPr>
        <w:t>6</w:t>
      </w:r>
      <w:r w:rsidR="00516812">
        <w:rPr>
          <w:rFonts w:ascii="Arial" w:hAnsi="Arial" w:cs="Arial"/>
          <w:sz w:val="24"/>
          <w:szCs w:val="24"/>
        </w:rPr>
        <w:t>.7</w:t>
      </w:r>
      <w:r w:rsidR="00516812">
        <w:rPr>
          <w:rFonts w:ascii="Arial" w:hAnsi="Arial" w:cs="Arial"/>
          <w:sz w:val="24"/>
          <w:szCs w:val="24"/>
        </w:rPr>
        <w:tab/>
      </w:r>
      <w:r w:rsidR="009060FF">
        <w:rPr>
          <w:rFonts w:ascii="Arial" w:hAnsi="Arial" w:cs="Arial"/>
          <w:sz w:val="24"/>
          <w:szCs w:val="24"/>
        </w:rPr>
        <w:t>The Study demonstrates that a</w:t>
      </w:r>
      <w:r w:rsidR="003E46E1">
        <w:rPr>
          <w:rFonts w:ascii="Arial" w:hAnsi="Arial" w:cs="Arial"/>
          <w:sz w:val="24"/>
          <w:szCs w:val="24"/>
        </w:rPr>
        <w:t>pplying the standard method</w:t>
      </w:r>
      <w:r w:rsidR="009060FF">
        <w:rPr>
          <w:rFonts w:ascii="Arial" w:hAnsi="Arial" w:cs="Arial"/>
          <w:sz w:val="24"/>
          <w:szCs w:val="24"/>
        </w:rPr>
        <w:t xml:space="preserve"> figure to each individual authority, as calculated, would be significantly at odds with the distributio</w:t>
      </w:r>
      <w:r w:rsidR="004272DE">
        <w:rPr>
          <w:rFonts w:ascii="Arial" w:hAnsi="Arial" w:cs="Arial"/>
          <w:sz w:val="24"/>
          <w:szCs w:val="24"/>
        </w:rPr>
        <w:t xml:space="preserve">n of people, jobs and services. However, further than that, applying the </w:t>
      </w:r>
      <w:r w:rsidR="004272DE">
        <w:rPr>
          <w:rFonts w:ascii="Arial" w:hAnsi="Arial" w:cs="Arial"/>
          <w:sz w:val="24"/>
          <w:szCs w:val="24"/>
        </w:rPr>
        <w:lastRenderedPageBreak/>
        <w:t xml:space="preserve">standard method figure to each individual authority, as calculated, would </w:t>
      </w:r>
      <w:r w:rsidR="00C35517">
        <w:rPr>
          <w:rFonts w:ascii="Arial" w:hAnsi="Arial" w:cs="Arial"/>
          <w:sz w:val="24"/>
          <w:szCs w:val="24"/>
        </w:rPr>
        <w:t xml:space="preserve">serve to undermine the key principles underpinning the </w:t>
      </w:r>
      <w:r w:rsidR="00982AA7">
        <w:rPr>
          <w:rFonts w:ascii="Arial" w:hAnsi="Arial" w:cs="Arial"/>
          <w:sz w:val="24"/>
          <w:szCs w:val="24"/>
        </w:rPr>
        <w:t xml:space="preserve">Preston, South </w:t>
      </w:r>
      <w:proofErr w:type="spellStart"/>
      <w:r w:rsidR="00982AA7">
        <w:rPr>
          <w:rFonts w:ascii="Arial" w:hAnsi="Arial" w:cs="Arial"/>
          <w:sz w:val="24"/>
          <w:szCs w:val="24"/>
        </w:rPr>
        <w:t>Ribble</w:t>
      </w:r>
      <w:proofErr w:type="spellEnd"/>
      <w:r w:rsidR="00982AA7">
        <w:rPr>
          <w:rFonts w:ascii="Arial" w:hAnsi="Arial" w:cs="Arial"/>
          <w:sz w:val="24"/>
          <w:szCs w:val="24"/>
        </w:rPr>
        <w:t xml:space="preserve"> and Lancashire City Deal (the City Deal). The City Deal, agreed in 2013, is a growth deal with Government, securing investment in infrastructure to support housing an economic </w:t>
      </w:r>
      <w:r w:rsidR="00350CA9">
        <w:rPr>
          <w:rFonts w:ascii="Arial" w:hAnsi="Arial" w:cs="Arial"/>
          <w:sz w:val="24"/>
          <w:szCs w:val="24"/>
        </w:rPr>
        <w:t>growth.</w:t>
      </w:r>
    </w:p>
    <w:p w14:paraId="3F79A605" w14:textId="29485BEC" w:rsidR="004272DE" w:rsidRDefault="00350CA9" w:rsidP="003E46E1">
      <w:pPr>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82AA7">
        <w:rPr>
          <w:rFonts w:ascii="Arial" w:hAnsi="Arial" w:cs="Arial"/>
          <w:sz w:val="24"/>
          <w:szCs w:val="24"/>
        </w:rPr>
        <w:t xml:space="preserve">To date, the City Deal has unlocked the development potential of land in Preston and South </w:t>
      </w:r>
      <w:proofErr w:type="spellStart"/>
      <w:r w:rsidR="00982AA7">
        <w:rPr>
          <w:rFonts w:ascii="Arial" w:hAnsi="Arial" w:cs="Arial"/>
          <w:sz w:val="24"/>
          <w:szCs w:val="24"/>
        </w:rPr>
        <w:t>Ribble</w:t>
      </w:r>
      <w:proofErr w:type="spellEnd"/>
      <w:r w:rsidR="00982AA7">
        <w:rPr>
          <w:rFonts w:ascii="Arial" w:hAnsi="Arial" w:cs="Arial"/>
          <w:sz w:val="24"/>
          <w:szCs w:val="24"/>
        </w:rPr>
        <w:t xml:space="preserve"> and will continue to support significant housing growth in both authority areas. A distribution of housing in Central</w:t>
      </w:r>
      <w:r>
        <w:rPr>
          <w:rFonts w:ascii="Arial" w:hAnsi="Arial" w:cs="Arial"/>
          <w:sz w:val="24"/>
          <w:szCs w:val="24"/>
        </w:rPr>
        <w:t xml:space="preserve"> Lancashire which is more reflective of City Deal aspirations is therefore a key outcome of this revised MOU.</w:t>
      </w:r>
    </w:p>
    <w:p w14:paraId="6AC9299C" w14:textId="5C091B82" w:rsidR="003E46E1" w:rsidRDefault="00350CA9" w:rsidP="003E46E1">
      <w:pPr>
        <w:ind w:left="720" w:hanging="720"/>
        <w:jc w:val="both"/>
        <w:rPr>
          <w:rFonts w:ascii="Arial" w:hAnsi="Arial" w:cs="Arial"/>
          <w:sz w:val="24"/>
          <w:szCs w:val="24"/>
        </w:rPr>
      </w:pPr>
      <w:r>
        <w:rPr>
          <w:rFonts w:ascii="Arial" w:hAnsi="Arial" w:cs="Arial"/>
          <w:sz w:val="24"/>
          <w:szCs w:val="24"/>
        </w:rPr>
        <w:t>6.9</w:t>
      </w:r>
      <w:r w:rsidR="004272DE">
        <w:rPr>
          <w:rFonts w:ascii="Arial" w:hAnsi="Arial" w:cs="Arial"/>
          <w:sz w:val="24"/>
          <w:szCs w:val="24"/>
        </w:rPr>
        <w:tab/>
      </w:r>
      <w:r>
        <w:rPr>
          <w:rFonts w:ascii="Arial" w:hAnsi="Arial" w:cs="Arial"/>
          <w:sz w:val="24"/>
          <w:szCs w:val="24"/>
        </w:rPr>
        <w:t>With regards housing distribution, t</w:t>
      </w:r>
      <w:r w:rsidR="009060FF">
        <w:rPr>
          <w:rFonts w:ascii="Arial" w:hAnsi="Arial" w:cs="Arial"/>
          <w:sz w:val="24"/>
          <w:szCs w:val="24"/>
        </w:rPr>
        <w:t>he findings of the above analysis are presented in tabular form within the Study as follows:</w:t>
      </w:r>
    </w:p>
    <w:p w14:paraId="583F5FE4" w14:textId="5D2A9513" w:rsidR="00A609F9" w:rsidRPr="00EE2FE1" w:rsidRDefault="00A609F9" w:rsidP="009060FF">
      <w:pPr>
        <w:ind w:left="720" w:hanging="720"/>
        <w:jc w:val="both"/>
        <w:rPr>
          <w:rFonts w:ascii="Arial" w:hAnsi="Arial" w:cs="Arial"/>
          <w:b/>
        </w:rPr>
      </w:pPr>
      <w:r w:rsidRPr="00EE2FE1">
        <w:rPr>
          <w:rFonts w:ascii="Arial" w:hAnsi="Arial" w:cs="Arial"/>
          <w:b/>
        </w:rPr>
        <w:t>Table</w:t>
      </w:r>
      <w:r w:rsidR="00EE2FE1" w:rsidRPr="00EE2FE1">
        <w:rPr>
          <w:rFonts w:ascii="Arial" w:hAnsi="Arial" w:cs="Arial"/>
          <w:b/>
        </w:rPr>
        <w:t xml:space="preserve"> 1:</w:t>
      </w:r>
      <w:r w:rsidRPr="00EE2FE1">
        <w:rPr>
          <w:rFonts w:ascii="Arial" w:hAnsi="Arial" w:cs="Arial"/>
          <w:b/>
        </w:rPr>
        <w:t xml:space="preserve"> Recommended </w:t>
      </w:r>
      <w:r w:rsidR="00EE2FE1" w:rsidRPr="00EE2FE1">
        <w:rPr>
          <w:rFonts w:ascii="Arial" w:hAnsi="Arial" w:cs="Arial"/>
          <w:b/>
        </w:rPr>
        <w:t xml:space="preserve">Housing </w:t>
      </w:r>
      <w:r w:rsidRPr="00EE2FE1">
        <w:rPr>
          <w:rFonts w:ascii="Arial" w:hAnsi="Arial" w:cs="Arial"/>
          <w:b/>
        </w:rPr>
        <w:t>Distribution</w:t>
      </w:r>
    </w:p>
    <w:tbl>
      <w:tblPr>
        <w:tblStyle w:val="TableGrid"/>
        <w:tblW w:w="8744" w:type="dxa"/>
        <w:jc w:val="center"/>
        <w:tblLook w:val="04A0" w:firstRow="1" w:lastRow="0" w:firstColumn="1" w:lastColumn="0" w:noHBand="0" w:noVBand="1"/>
      </w:tblPr>
      <w:tblGrid>
        <w:gridCol w:w="5098"/>
        <w:gridCol w:w="1206"/>
        <w:gridCol w:w="1207"/>
        <w:gridCol w:w="1233"/>
      </w:tblGrid>
      <w:tr w:rsidR="009060FF" w14:paraId="4B705B78" w14:textId="77777777" w:rsidTr="009060FF">
        <w:trPr>
          <w:jc w:val="center"/>
        </w:trPr>
        <w:tc>
          <w:tcPr>
            <w:tcW w:w="5098" w:type="dxa"/>
            <w:shd w:val="clear" w:color="auto" w:fill="222C56"/>
            <w:vAlign w:val="center"/>
          </w:tcPr>
          <w:p w14:paraId="30E55BFB" w14:textId="77777777" w:rsidR="009060FF" w:rsidRDefault="009060FF" w:rsidP="00342D89">
            <w:pPr>
              <w:pStyle w:val="BodyText"/>
              <w:ind w:left="0" w:firstLine="0"/>
            </w:pPr>
            <w:r>
              <w:t>Variable</w:t>
            </w:r>
          </w:p>
        </w:tc>
        <w:tc>
          <w:tcPr>
            <w:tcW w:w="1206" w:type="dxa"/>
            <w:shd w:val="clear" w:color="auto" w:fill="222C56"/>
          </w:tcPr>
          <w:p w14:paraId="6A066F04" w14:textId="77777777" w:rsidR="009060FF" w:rsidRDefault="009060FF" w:rsidP="00342D89">
            <w:pPr>
              <w:pStyle w:val="BodyText"/>
              <w:spacing w:before="60" w:after="60"/>
              <w:ind w:left="0" w:firstLine="0"/>
              <w:jc w:val="center"/>
            </w:pPr>
            <w:r>
              <w:t>CBC</w:t>
            </w:r>
          </w:p>
        </w:tc>
        <w:tc>
          <w:tcPr>
            <w:tcW w:w="1207" w:type="dxa"/>
            <w:shd w:val="clear" w:color="auto" w:fill="222C56"/>
          </w:tcPr>
          <w:p w14:paraId="13DDED8F" w14:textId="77777777" w:rsidR="009060FF" w:rsidRDefault="009060FF" w:rsidP="00342D89">
            <w:pPr>
              <w:pStyle w:val="BodyText"/>
              <w:spacing w:before="60" w:after="60"/>
              <w:ind w:left="0" w:firstLine="0"/>
              <w:jc w:val="center"/>
            </w:pPr>
            <w:r>
              <w:t>PCC</w:t>
            </w:r>
          </w:p>
        </w:tc>
        <w:tc>
          <w:tcPr>
            <w:tcW w:w="1233" w:type="dxa"/>
            <w:shd w:val="clear" w:color="auto" w:fill="222C56"/>
          </w:tcPr>
          <w:p w14:paraId="43EF3927" w14:textId="77777777" w:rsidR="009060FF" w:rsidRDefault="009060FF" w:rsidP="00342D89">
            <w:pPr>
              <w:pStyle w:val="BodyText"/>
              <w:spacing w:before="60" w:after="60"/>
              <w:ind w:left="0" w:firstLine="0"/>
              <w:jc w:val="center"/>
            </w:pPr>
            <w:r>
              <w:t>SRBC</w:t>
            </w:r>
          </w:p>
        </w:tc>
      </w:tr>
      <w:tr w:rsidR="009060FF" w14:paraId="37E88A44" w14:textId="77777777" w:rsidTr="009060FF">
        <w:trPr>
          <w:jc w:val="center"/>
        </w:trPr>
        <w:tc>
          <w:tcPr>
            <w:tcW w:w="5098" w:type="dxa"/>
            <w:vAlign w:val="center"/>
          </w:tcPr>
          <w:p w14:paraId="3071DD51" w14:textId="77777777" w:rsidR="009060FF" w:rsidRDefault="009060FF" w:rsidP="00342D89">
            <w:pPr>
              <w:pStyle w:val="BodyText"/>
              <w:ind w:left="0" w:firstLine="0"/>
            </w:pPr>
            <w:r>
              <w:t>Jobs Distribution</w:t>
            </w:r>
          </w:p>
        </w:tc>
        <w:tc>
          <w:tcPr>
            <w:tcW w:w="1206" w:type="dxa"/>
            <w:vAlign w:val="center"/>
          </w:tcPr>
          <w:p w14:paraId="1B443449" w14:textId="77777777" w:rsidR="009060FF" w:rsidRDefault="009060FF" w:rsidP="00342D89">
            <w:pPr>
              <w:pStyle w:val="BodyText"/>
              <w:spacing w:before="60" w:after="60"/>
              <w:ind w:left="0" w:firstLine="0"/>
              <w:jc w:val="center"/>
            </w:pPr>
            <w:r>
              <w:t>22%</w:t>
            </w:r>
          </w:p>
        </w:tc>
        <w:tc>
          <w:tcPr>
            <w:tcW w:w="1207" w:type="dxa"/>
            <w:vAlign w:val="center"/>
          </w:tcPr>
          <w:p w14:paraId="22968F6A" w14:textId="77777777" w:rsidR="009060FF" w:rsidRDefault="009060FF" w:rsidP="00342D89">
            <w:pPr>
              <w:pStyle w:val="BodyText"/>
              <w:spacing w:before="60" w:after="60"/>
              <w:ind w:left="0" w:firstLine="0"/>
              <w:jc w:val="center"/>
            </w:pPr>
            <w:r>
              <w:t>48%</w:t>
            </w:r>
          </w:p>
        </w:tc>
        <w:tc>
          <w:tcPr>
            <w:tcW w:w="1233" w:type="dxa"/>
          </w:tcPr>
          <w:p w14:paraId="0508A682" w14:textId="77777777" w:rsidR="009060FF" w:rsidRDefault="009060FF" w:rsidP="00342D89">
            <w:pPr>
              <w:pStyle w:val="BodyText"/>
              <w:spacing w:before="60" w:after="60"/>
              <w:ind w:left="0" w:firstLine="0"/>
              <w:jc w:val="center"/>
            </w:pPr>
            <w:r>
              <w:t>30%</w:t>
            </w:r>
          </w:p>
        </w:tc>
      </w:tr>
      <w:tr w:rsidR="009060FF" w14:paraId="5E5DB97E" w14:textId="77777777" w:rsidTr="009060FF">
        <w:trPr>
          <w:jc w:val="center"/>
        </w:trPr>
        <w:tc>
          <w:tcPr>
            <w:tcW w:w="5098" w:type="dxa"/>
            <w:vAlign w:val="center"/>
          </w:tcPr>
          <w:p w14:paraId="6F0D1FA7" w14:textId="77777777" w:rsidR="009060FF" w:rsidRDefault="009060FF" w:rsidP="00342D89">
            <w:pPr>
              <w:pStyle w:val="BodyText"/>
              <w:ind w:left="0" w:firstLine="0"/>
            </w:pPr>
            <w:r>
              <w:t>Population Distribution</w:t>
            </w:r>
          </w:p>
        </w:tc>
        <w:tc>
          <w:tcPr>
            <w:tcW w:w="1206" w:type="dxa"/>
            <w:vAlign w:val="center"/>
          </w:tcPr>
          <w:p w14:paraId="65843869" w14:textId="77777777" w:rsidR="009060FF" w:rsidRDefault="009060FF" w:rsidP="00342D89">
            <w:pPr>
              <w:pStyle w:val="BodyText"/>
              <w:spacing w:before="60" w:after="60"/>
              <w:ind w:left="0" w:firstLine="0"/>
              <w:jc w:val="center"/>
            </w:pPr>
            <w:r>
              <w:t>32%</w:t>
            </w:r>
          </w:p>
        </w:tc>
        <w:tc>
          <w:tcPr>
            <w:tcW w:w="1207" w:type="dxa"/>
            <w:vAlign w:val="center"/>
          </w:tcPr>
          <w:p w14:paraId="1C74FFF8" w14:textId="77777777" w:rsidR="009060FF" w:rsidRDefault="009060FF" w:rsidP="00342D89">
            <w:pPr>
              <w:pStyle w:val="BodyText"/>
              <w:spacing w:before="60" w:after="60"/>
              <w:ind w:left="0" w:firstLine="0"/>
              <w:jc w:val="center"/>
            </w:pPr>
            <w:r>
              <w:t>38%</w:t>
            </w:r>
          </w:p>
        </w:tc>
        <w:tc>
          <w:tcPr>
            <w:tcW w:w="1233" w:type="dxa"/>
          </w:tcPr>
          <w:p w14:paraId="4F8C8F2E" w14:textId="77777777" w:rsidR="009060FF" w:rsidRDefault="009060FF" w:rsidP="00342D89">
            <w:pPr>
              <w:pStyle w:val="BodyText"/>
              <w:spacing w:before="60" w:after="60"/>
              <w:ind w:left="0" w:firstLine="0"/>
              <w:jc w:val="center"/>
            </w:pPr>
            <w:r>
              <w:t>34%</w:t>
            </w:r>
          </w:p>
        </w:tc>
      </w:tr>
      <w:tr w:rsidR="009060FF" w14:paraId="7DB0545C" w14:textId="77777777" w:rsidTr="009060FF">
        <w:trPr>
          <w:jc w:val="center"/>
        </w:trPr>
        <w:tc>
          <w:tcPr>
            <w:tcW w:w="5098" w:type="dxa"/>
            <w:vAlign w:val="center"/>
          </w:tcPr>
          <w:p w14:paraId="4CA1F22F" w14:textId="77777777" w:rsidR="009060FF" w:rsidRDefault="009060FF" w:rsidP="00342D89">
            <w:pPr>
              <w:pStyle w:val="BodyText"/>
              <w:ind w:left="0" w:firstLine="0"/>
            </w:pPr>
            <w:r>
              <w:t>Affordability Distribution</w:t>
            </w:r>
          </w:p>
        </w:tc>
        <w:tc>
          <w:tcPr>
            <w:tcW w:w="1206" w:type="dxa"/>
            <w:vAlign w:val="center"/>
          </w:tcPr>
          <w:p w14:paraId="7BD4E5FD" w14:textId="77777777" w:rsidR="009060FF" w:rsidRDefault="009060FF" w:rsidP="00342D89">
            <w:pPr>
              <w:pStyle w:val="BodyText"/>
              <w:spacing w:before="60" w:after="60"/>
              <w:ind w:left="0" w:firstLine="0"/>
              <w:jc w:val="center"/>
            </w:pPr>
            <w:r>
              <w:t>36%</w:t>
            </w:r>
          </w:p>
        </w:tc>
        <w:tc>
          <w:tcPr>
            <w:tcW w:w="1207" w:type="dxa"/>
            <w:vAlign w:val="center"/>
          </w:tcPr>
          <w:p w14:paraId="318810D9" w14:textId="77777777" w:rsidR="009060FF" w:rsidRDefault="009060FF" w:rsidP="00342D89">
            <w:pPr>
              <w:pStyle w:val="BodyText"/>
              <w:spacing w:before="60" w:after="60"/>
              <w:ind w:left="0" w:firstLine="0"/>
              <w:jc w:val="center"/>
            </w:pPr>
            <w:r>
              <w:t>28%</w:t>
            </w:r>
          </w:p>
        </w:tc>
        <w:tc>
          <w:tcPr>
            <w:tcW w:w="1233" w:type="dxa"/>
          </w:tcPr>
          <w:p w14:paraId="4BFB2B13" w14:textId="77777777" w:rsidR="009060FF" w:rsidRDefault="009060FF" w:rsidP="00342D89">
            <w:pPr>
              <w:pStyle w:val="BodyText"/>
              <w:spacing w:before="60" w:after="60"/>
              <w:ind w:left="0" w:firstLine="0"/>
              <w:jc w:val="center"/>
            </w:pPr>
            <w:r>
              <w:t>36%</w:t>
            </w:r>
          </w:p>
        </w:tc>
      </w:tr>
      <w:tr w:rsidR="009060FF" w14:paraId="5A53E997" w14:textId="77777777" w:rsidTr="009060FF">
        <w:trPr>
          <w:jc w:val="center"/>
        </w:trPr>
        <w:tc>
          <w:tcPr>
            <w:tcW w:w="5098" w:type="dxa"/>
            <w:vAlign w:val="center"/>
          </w:tcPr>
          <w:p w14:paraId="70A1532B" w14:textId="77777777" w:rsidR="009060FF" w:rsidRDefault="009060FF" w:rsidP="00342D89">
            <w:pPr>
              <w:pStyle w:val="BodyText"/>
              <w:ind w:left="0" w:firstLine="0"/>
            </w:pPr>
            <w:r>
              <w:t>Workforce Distribution</w:t>
            </w:r>
          </w:p>
        </w:tc>
        <w:tc>
          <w:tcPr>
            <w:tcW w:w="1206" w:type="dxa"/>
            <w:vAlign w:val="center"/>
          </w:tcPr>
          <w:p w14:paraId="78007B4C" w14:textId="77777777" w:rsidR="009060FF" w:rsidRDefault="009060FF" w:rsidP="00342D89">
            <w:pPr>
              <w:pStyle w:val="BodyText"/>
              <w:spacing w:before="60" w:after="60"/>
              <w:ind w:left="0" w:firstLine="0"/>
              <w:jc w:val="center"/>
            </w:pPr>
            <w:r>
              <w:t>32%</w:t>
            </w:r>
          </w:p>
        </w:tc>
        <w:tc>
          <w:tcPr>
            <w:tcW w:w="1207" w:type="dxa"/>
            <w:vAlign w:val="center"/>
          </w:tcPr>
          <w:p w14:paraId="45871B5A" w14:textId="77777777" w:rsidR="009060FF" w:rsidRDefault="009060FF" w:rsidP="00342D89">
            <w:pPr>
              <w:pStyle w:val="BodyText"/>
              <w:spacing w:before="60" w:after="60"/>
              <w:ind w:left="0" w:firstLine="0"/>
              <w:jc w:val="center"/>
            </w:pPr>
            <w:r>
              <w:t>38%</w:t>
            </w:r>
          </w:p>
        </w:tc>
        <w:tc>
          <w:tcPr>
            <w:tcW w:w="1233" w:type="dxa"/>
          </w:tcPr>
          <w:p w14:paraId="6B313890" w14:textId="77777777" w:rsidR="009060FF" w:rsidRDefault="009060FF" w:rsidP="00342D89">
            <w:pPr>
              <w:pStyle w:val="BodyText"/>
              <w:spacing w:before="60" w:after="60"/>
              <w:ind w:left="0" w:firstLine="0"/>
              <w:jc w:val="center"/>
            </w:pPr>
            <w:r>
              <w:t>30%</w:t>
            </w:r>
          </w:p>
        </w:tc>
      </w:tr>
      <w:tr w:rsidR="009060FF" w14:paraId="5CE589BA" w14:textId="77777777" w:rsidTr="009060FF">
        <w:trPr>
          <w:jc w:val="center"/>
        </w:trPr>
        <w:tc>
          <w:tcPr>
            <w:tcW w:w="5098" w:type="dxa"/>
            <w:vAlign w:val="center"/>
          </w:tcPr>
          <w:p w14:paraId="60353AAB" w14:textId="77777777" w:rsidR="009060FF" w:rsidRDefault="009060FF" w:rsidP="00342D89">
            <w:pPr>
              <w:pStyle w:val="BodyText"/>
              <w:ind w:left="0" w:firstLine="0"/>
            </w:pPr>
            <w:r>
              <w:t>Nominal Urban Capacity</w:t>
            </w:r>
          </w:p>
        </w:tc>
        <w:tc>
          <w:tcPr>
            <w:tcW w:w="1206" w:type="dxa"/>
            <w:vAlign w:val="center"/>
          </w:tcPr>
          <w:p w14:paraId="751892C7" w14:textId="77777777" w:rsidR="009060FF" w:rsidRDefault="009060FF" w:rsidP="00342D89">
            <w:pPr>
              <w:pStyle w:val="BodyText"/>
              <w:spacing w:before="60" w:after="60"/>
              <w:ind w:left="0" w:firstLine="0"/>
              <w:jc w:val="center"/>
            </w:pPr>
            <w:r>
              <w:t>18%</w:t>
            </w:r>
          </w:p>
        </w:tc>
        <w:tc>
          <w:tcPr>
            <w:tcW w:w="1207" w:type="dxa"/>
            <w:vAlign w:val="center"/>
          </w:tcPr>
          <w:p w14:paraId="4AC3C245" w14:textId="77777777" w:rsidR="009060FF" w:rsidRDefault="009060FF" w:rsidP="00342D89">
            <w:pPr>
              <w:pStyle w:val="BodyText"/>
              <w:spacing w:before="60" w:after="60"/>
              <w:ind w:left="0" w:firstLine="0"/>
              <w:jc w:val="center"/>
            </w:pPr>
            <w:r>
              <w:t>42%</w:t>
            </w:r>
          </w:p>
        </w:tc>
        <w:tc>
          <w:tcPr>
            <w:tcW w:w="1233" w:type="dxa"/>
          </w:tcPr>
          <w:p w14:paraId="5300B326" w14:textId="77777777" w:rsidR="009060FF" w:rsidRDefault="009060FF" w:rsidP="00342D89">
            <w:pPr>
              <w:pStyle w:val="BodyText"/>
              <w:spacing w:before="60" w:after="60"/>
              <w:ind w:left="0" w:firstLine="0"/>
              <w:jc w:val="center"/>
            </w:pPr>
            <w:r>
              <w:t>40%</w:t>
            </w:r>
          </w:p>
        </w:tc>
      </w:tr>
      <w:tr w:rsidR="009060FF" w14:paraId="3BBF9DAD" w14:textId="77777777" w:rsidTr="009060FF">
        <w:trPr>
          <w:jc w:val="center"/>
        </w:trPr>
        <w:tc>
          <w:tcPr>
            <w:tcW w:w="5098" w:type="dxa"/>
            <w:vAlign w:val="center"/>
          </w:tcPr>
          <w:p w14:paraId="6CE18500" w14:textId="77777777" w:rsidR="009060FF" w:rsidRDefault="009060FF" w:rsidP="00342D89">
            <w:pPr>
              <w:pStyle w:val="BodyText"/>
              <w:ind w:left="0" w:firstLine="0"/>
            </w:pPr>
            <w:r>
              <w:t xml:space="preserve">Existing Spatial Strategy </w:t>
            </w:r>
          </w:p>
        </w:tc>
        <w:tc>
          <w:tcPr>
            <w:tcW w:w="1206" w:type="dxa"/>
            <w:vAlign w:val="center"/>
          </w:tcPr>
          <w:p w14:paraId="22B84870" w14:textId="77777777" w:rsidR="009060FF" w:rsidRDefault="009060FF" w:rsidP="00342D89">
            <w:pPr>
              <w:pStyle w:val="BodyText"/>
              <w:spacing w:before="60" w:after="60"/>
              <w:ind w:left="0" w:firstLine="0"/>
              <w:jc w:val="center"/>
            </w:pPr>
            <w:r>
              <w:t>30%</w:t>
            </w:r>
          </w:p>
        </w:tc>
        <w:tc>
          <w:tcPr>
            <w:tcW w:w="1207" w:type="dxa"/>
            <w:vAlign w:val="center"/>
          </w:tcPr>
          <w:p w14:paraId="12BFB8D9" w14:textId="77777777" w:rsidR="009060FF" w:rsidRDefault="009060FF" w:rsidP="00342D89">
            <w:pPr>
              <w:pStyle w:val="BodyText"/>
              <w:spacing w:before="60" w:after="60"/>
              <w:ind w:left="0" w:firstLine="0"/>
              <w:jc w:val="center"/>
            </w:pPr>
            <w:r>
              <w:t>40%</w:t>
            </w:r>
          </w:p>
        </w:tc>
        <w:tc>
          <w:tcPr>
            <w:tcW w:w="1233" w:type="dxa"/>
          </w:tcPr>
          <w:p w14:paraId="60230D3C" w14:textId="77777777" w:rsidR="009060FF" w:rsidRDefault="009060FF" w:rsidP="00342D89">
            <w:pPr>
              <w:pStyle w:val="BodyText"/>
              <w:spacing w:before="60" w:after="60"/>
              <w:ind w:left="0" w:firstLine="0"/>
              <w:jc w:val="center"/>
            </w:pPr>
            <w:r>
              <w:t>30%</w:t>
            </w:r>
          </w:p>
        </w:tc>
      </w:tr>
      <w:tr w:rsidR="009060FF" w14:paraId="433809A1" w14:textId="77777777" w:rsidTr="009060FF">
        <w:trPr>
          <w:jc w:val="center"/>
        </w:trPr>
        <w:tc>
          <w:tcPr>
            <w:tcW w:w="5098" w:type="dxa"/>
            <w:vAlign w:val="center"/>
          </w:tcPr>
          <w:p w14:paraId="4110B862" w14:textId="77777777" w:rsidR="009060FF" w:rsidRDefault="009060FF" w:rsidP="00342D89">
            <w:pPr>
              <w:pStyle w:val="BodyText"/>
              <w:ind w:left="0" w:firstLine="0"/>
            </w:pPr>
            <w:r>
              <w:t>Land not Subject to National Constraints</w:t>
            </w:r>
          </w:p>
        </w:tc>
        <w:tc>
          <w:tcPr>
            <w:tcW w:w="1206" w:type="dxa"/>
            <w:vAlign w:val="center"/>
          </w:tcPr>
          <w:p w14:paraId="397E6CD5" w14:textId="77777777" w:rsidR="009060FF" w:rsidRDefault="009060FF" w:rsidP="00342D89">
            <w:pPr>
              <w:pStyle w:val="BodyText"/>
              <w:spacing w:before="60" w:after="60"/>
              <w:ind w:left="0" w:firstLine="0"/>
              <w:jc w:val="center"/>
            </w:pPr>
            <w:r>
              <w:t>20%</w:t>
            </w:r>
          </w:p>
        </w:tc>
        <w:tc>
          <w:tcPr>
            <w:tcW w:w="1207" w:type="dxa"/>
            <w:vAlign w:val="center"/>
          </w:tcPr>
          <w:p w14:paraId="4221EA11" w14:textId="77777777" w:rsidR="009060FF" w:rsidRDefault="009060FF" w:rsidP="00342D89">
            <w:pPr>
              <w:pStyle w:val="BodyText"/>
              <w:spacing w:before="60" w:after="60"/>
              <w:ind w:left="0" w:firstLine="0"/>
              <w:jc w:val="center"/>
            </w:pPr>
            <w:r>
              <w:t>86%</w:t>
            </w:r>
          </w:p>
        </w:tc>
        <w:tc>
          <w:tcPr>
            <w:tcW w:w="1233" w:type="dxa"/>
          </w:tcPr>
          <w:p w14:paraId="2A1D5AFB" w14:textId="77777777" w:rsidR="009060FF" w:rsidRDefault="009060FF" w:rsidP="00342D89">
            <w:pPr>
              <w:pStyle w:val="BodyText"/>
              <w:spacing w:before="60" w:after="60"/>
              <w:ind w:left="0" w:firstLine="0"/>
              <w:jc w:val="center"/>
            </w:pPr>
            <w:r>
              <w:t>33%</w:t>
            </w:r>
          </w:p>
        </w:tc>
      </w:tr>
      <w:tr w:rsidR="009060FF" w14:paraId="3F2ED5C3" w14:textId="77777777" w:rsidTr="009060FF">
        <w:trPr>
          <w:jc w:val="center"/>
        </w:trPr>
        <w:tc>
          <w:tcPr>
            <w:tcW w:w="5098" w:type="dxa"/>
            <w:vAlign w:val="center"/>
          </w:tcPr>
          <w:p w14:paraId="57D6330A" w14:textId="77777777" w:rsidR="009060FF" w:rsidRDefault="009060FF" w:rsidP="00342D89">
            <w:pPr>
              <w:pStyle w:val="BodyText"/>
              <w:ind w:left="0" w:firstLine="0"/>
            </w:pPr>
          </w:p>
        </w:tc>
        <w:tc>
          <w:tcPr>
            <w:tcW w:w="1206" w:type="dxa"/>
            <w:vAlign w:val="center"/>
          </w:tcPr>
          <w:p w14:paraId="4F70E065" w14:textId="77777777" w:rsidR="009060FF" w:rsidRDefault="009060FF" w:rsidP="00342D89">
            <w:pPr>
              <w:pStyle w:val="BodyText"/>
              <w:spacing w:before="60" w:after="60"/>
              <w:ind w:left="0" w:firstLine="0"/>
              <w:jc w:val="center"/>
            </w:pPr>
          </w:p>
        </w:tc>
        <w:tc>
          <w:tcPr>
            <w:tcW w:w="1207" w:type="dxa"/>
            <w:vAlign w:val="center"/>
          </w:tcPr>
          <w:p w14:paraId="385D73C2" w14:textId="77777777" w:rsidR="009060FF" w:rsidRDefault="009060FF" w:rsidP="00342D89">
            <w:pPr>
              <w:pStyle w:val="BodyText"/>
              <w:spacing w:before="60" w:after="60"/>
              <w:ind w:left="0" w:firstLine="0"/>
              <w:jc w:val="center"/>
            </w:pPr>
          </w:p>
        </w:tc>
        <w:tc>
          <w:tcPr>
            <w:tcW w:w="1233" w:type="dxa"/>
          </w:tcPr>
          <w:p w14:paraId="742EB6FC" w14:textId="77777777" w:rsidR="009060FF" w:rsidRDefault="009060FF" w:rsidP="00342D89">
            <w:pPr>
              <w:pStyle w:val="BodyText"/>
              <w:spacing w:before="60" w:after="60"/>
              <w:ind w:left="0" w:firstLine="0"/>
              <w:jc w:val="center"/>
            </w:pPr>
          </w:p>
        </w:tc>
      </w:tr>
      <w:tr w:rsidR="009060FF" w14:paraId="44357264" w14:textId="77777777" w:rsidTr="009060FF">
        <w:trPr>
          <w:jc w:val="center"/>
        </w:trPr>
        <w:tc>
          <w:tcPr>
            <w:tcW w:w="5098" w:type="dxa"/>
            <w:shd w:val="clear" w:color="auto" w:fill="D9D9D9" w:themeFill="background1" w:themeFillShade="D9"/>
            <w:vAlign w:val="center"/>
          </w:tcPr>
          <w:p w14:paraId="02CB6931" w14:textId="77777777" w:rsidR="009060FF" w:rsidRPr="00BD01AF" w:rsidRDefault="009060FF" w:rsidP="00342D89">
            <w:pPr>
              <w:pStyle w:val="BodyText"/>
              <w:ind w:left="0" w:firstLine="0"/>
              <w:rPr>
                <w:b/>
                <w:bCs/>
              </w:rPr>
            </w:pPr>
            <w:r w:rsidRPr="00BD01AF">
              <w:rPr>
                <w:b/>
                <w:bCs/>
              </w:rPr>
              <w:t>Recommended Distribution</w:t>
            </w:r>
            <w:r>
              <w:rPr>
                <w:b/>
                <w:bCs/>
              </w:rPr>
              <w:t xml:space="preserve"> (%)</w:t>
            </w:r>
          </w:p>
        </w:tc>
        <w:tc>
          <w:tcPr>
            <w:tcW w:w="1206" w:type="dxa"/>
            <w:shd w:val="clear" w:color="auto" w:fill="D9D9D9" w:themeFill="background1" w:themeFillShade="D9"/>
            <w:vAlign w:val="center"/>
          </w:tcPr>
          <w:p w14:paraId="508F3DFD" w14:textId="77777777" w:rsidR="009060FF" w:rsidRPr="00BD01AF" w:rsidRDefault="009060FF" w:rsidP="00342D89">
            <w:pPr>
              <w:pStyle w:val="BodyText"/>
              <w:spacing w:before="60" w:after="60"/>
              <w:ind w:left="0" w:firstLine="0"/>
              <w:jc w:val="center"/>
              <w:rPr>
                <w:b/>
                <w:bCs/>
              </w:rPr>
            </w:pPr>
            <w:r w:rsidRPr="00BD01AF">
              <w:rPr>
                <w:b/>
                <w:bCs/>
              </w:rPr>
              <w:t>27.5%</w:t>
            </w:r>
          </w:p>
        </w:tc>
        <w:tc>
          <w:tcPr>
            <w:tcW w:w="1207" w:type="dxa"/>
            <w:shd w:val="clear" w:color="auto" w:fill="D9D9D9" w:themeFill="background1" w:themeFillShade="D9"/>
            <w:vAlign w:val="center"/>
          </w:tcPr>
          <w:p w14:paraId="2249EDCD" w14:textId="77777777" w:rsidR="009060FF" w:rsidRPr="00BD01AF" w:rsidRDefault="009060FF" w:rsidP="00342D89">
            <w:pPr>
              <w:pStyle w:val="BodyText"/>
              <w:spacing w:before="60" w:after="60"/>
              <w:ind w:left="0" w:firstLine="0"/>
              <w:jc w:val="center"/>
              <w:rPr>
                <w:b/>
                <w:bCs/>
              </w:rPr>
            </w:pPr>
            <w:r w:rsidRPr="00BD01AF">
              <w:rPr>
                <w:b/>
                <w:bCs/>
              </w:rPr>
              <w:t>40%</w:t>
            </w:r>
          </w:p>
        </w:tc>
        <w:tc>
          <w:tcPr>
            <w:tcW w:w="1233" w:type="dxa"/>
            <w:shd w:val="clear" w:color="auto" w:fill="D9D9D9" w:themeFill="background1" w:themeFillShade="D9"/>
          </w:tcPr>
          <w:p w14:paraId="0934A89E" w14:textId="77777777" w:rsidR="009060FF" w:rsidRPr="00BD01AF" w:rsidRDefault="009060FF" w:rsidP="00342D89">
            <w:pPr>
              <w:pStyle w:val="BodyText"/>
              <w:spacing w:before="60" w:after="60"/>
              <w:ind w:left="0" w:firstLine="0"/>
              <w:jc w:val="center"/>
              <w:rPr>
                <w:b/>
                <w:bCs/>
              </w:rPr>
            </w:pPr>
            <w:r w:rsidRPr="00BD01AF">
              <w:rPr>
                <w:b/>
                <w:bCs/>
              </w:rPr>
              <w:t>32.5%</w:t>
            </w:r>
          </w:p>
        </w:tc>
      </w:tr>
    </w:tbl>
    <w:p w14:paraId="4169B751" w14:textId="77777777" w:rsidR="00EE2FE1" w:rsidRDefault="00EE2FE1" w:rsidP="00D474BA">
      <w:pPr>
        <w:ind w:left="720" w:hanging="720"/>
        <w:jc w:val="both"/>
        <w:rPr>
          <w:rFonts w:ascii="Arial" w:hAnsi="Arial" w:cs="Arial"/>
          <w:sz w:val="24"/>
          <w:szCs w:val="24"/>
        </w:rPr>
      </w:pPr>
    </w:p>
    <w:p w14:paraId="70760A46" w14:textId="6347F46F" w:rsidR="00B57879" w:rsidRDefault="0044504B" w:rsidP="00D474BA">
      <w:pPr>
        <w:ind w:left="720" w:hanging="720"/>
        <w:jc w:val="both"/>
        <w:rPr>
          <w:rFonts w:ascii="Arial" w:hAnsi="Arial" w:cs="Arial"/>
          <w:sz w:val="24"/>
          <w:szCs w:val="24"/>
        </w:rPr>
      </w:pPr>
      <w:r>
        <w:rPr>
          <w:rFonts w:ascii="Arial" w:hAnsi="Arial" w:cs="Arial"/>
          <w:sz w:val="24"/>
          <w:szCs w:val="24"/>
        </w:rPr>
        <w:t>6</w:t>
      </w:r>
      <w:r w:rsidR="00350CA9">
        <w:rPr>
          <w:rFonts w:ascii="Arial" w:hAnsi="Arial" w:cs="Arial"/>
          <w:sz w:val="24"/>
          <w:szCs w:val="24"/>
        </w:rPr>
        <w:t>.10</w:t>
      </w:r>
      <w:r w:rsidR="00EE2FE1">
        <w:rPr>
          <w:rFonts w:ascii="Arial" w:hAnsi="Arial" w:cs="Arial"/>
          <w:sz w:val="24"/>
          <w:szCs w:val="24"/>
        </w:rPr>
        <w:tab/>
      </w:r>
      <w:r w:rsidR="00D474BA">
        <w:rPr>
          <w:rFonts w:ascii="Arial" w:hAnsi="Arial" w:cs="Arial"/>
          <w:sz w:val="24"/>
          <w:szCs w:val="24"/>
        </w:rPr>
        <w:t xml:space="preserve">The Study therefore </w:t>
      </w:r>
      <w:r w:rsidR="00BB4569">
        <w:rPr>
          <w:rFonts w:ascii="Arial" w:hAnsi="Arial" w:cs="Arial"/>
          <w:sz w:val="24"/>
          <w:szCs w:val="24"/>
        </w:rPr>
        <w:t>makes robust recommendations on the distribution of housing need, and concludes, at paragraphs 4.44 to 4.53 (Page 23 to 25),</w:t>
      </w:r>
      <w:r w:rsidR="00D474BA">
        <w:rPr>
          <w:rFonts w:ascii="Arial" w:hAnsi="Arial" w:cs="Arial"/>
          <w:sz w:val="24"/>
          <w:szCs w:val="24"/>
        </w:rPr>
        <w:t xml:space="preserve"> that an evidence-based distribution of housing need would recommend that 40% of need is met in Preston, 32.5% in Sou</w:t>
      </w:r>
      <w:r w:rsidR="00BB4569">
        <w:rPr>
          <w:rFonts w:ascii="Arial" w:hAnsi="Arial" w:cs="Arial"/>
          <w:sz w:val="24"/>
          <w:szCs w:val="24"/>
        </w:rPr>
        <w:t xml:space="preserve">th </w:t>
      </w:r>
      <w:proofErr w:type="spellStart"/>
      <w:r w:rsidR="00BB4569">
        <w:rPr>
          <w:rFonts w:ascii="Arial" w:hAnsi="Arial" w:cs="Arial"/>
          <w:sz w:val="24"/>
          <w:szCs w:val="24"/>
        </w:rPr>
        <w:t>Ribble</w:t>
      </w:r>
      <w:proofErr w:type="spellEnd"/>
      <w:r w:rsidR="00BB4569">
        <w:rPr>
          <w:rFonts w:ascii="Arial" w:hAnsi="Arial" w:cs="Arial"/>
          <w:sz w:val="24"/>
          <w:szCs w:val="24"/>
        </w:rPr>
        <w:t xml:space="preserve"> and 27.5% in Chorley, as shown in </w:t>
      </w:r>
      <w:r w:rsidR="00BB4569" w:rsidRPr="00BB4569">
        <w:rPr>
          <w:rFonts w:ascii="Arial" w:hAnsi="Arial" w:cs="Arial"/>
          <w:b/>
          <w:sz w:val="24"/>
          <w:szCs w:val="24"/>
        </w:rPr>
        <w:t>Table 1</w:t>
      </w:r>
      <w:r w:rsidR="00BB4569">
        <w:rPr>
          <w:rFonts w:ascii="Arial" w:hAnsi="Arial" w:cs="Arial"/>
          <w:sz w:val="24"/>
          <w:szCs w:val="24"/>
        </w:rPr>
        <w:t xml:space="preserve"> (above).</w:t>
      </w:r>
    </w:p>
    <w:p w14:paraId="54DE7788" w14:textId="2E23D748" w:rsidR="00B57879" w:rsidRDefault="00350CA9" w:rsidP="00D474BA">
      <w:pPr>
        <w:ind w:left="720" w:hanging="720"/>
        <w:jc w:val="both"/>
        <w:rPr>
          <w:rFonts w:ascii="Arial" w:hAnsi="Arial" w:cs="Arial"/>
          <w:sz w:val="24"/>
          <w:szCs w:val="24"/>
        </w:rPr>
      </w:pPr>
      <w:r>
        <w:rPr>
          <w:rFonts w:ascii="Arial" w:hAnsi="Arial" w:cs="Arial"/>
          <w:sz w:val="24"/>
          <w:szCs w:val="24"/>
        </w:rPr>
        <w:t>6.11</w:t>
      </w:r>
      <w:r>
        <w:rPr>
          <w:rFonts w:ascii="Arial" w:hAnsi="Arial" w:cs="Arial"/>
          <w:sz w:val="24"/>
          <w:szCs w:val="24"/>
        </w:rPr>
        <w:tab/>
      </w:r>
      <w:r w:rsidR="006653E5">
        <w:rPr>
          <w:rFonts w:ascii="Arial" w:hAnsi="Arial" w:cs="Arial"/>
          <w:sz w:val="24"/>
          <w:szCs w:val="24"/>
        </w:rPr>
        <w:t>Reflective of the above analysis, the overall purpose and effect, in planning terms, of this revised MOU is clear. The Central Lancashire authorities</w:t>
      </w:r>
      <w:r w:rsidR="000A5758">
        <w:rPr>
          <w:rFonts w:ascii="Arial" w:hAnsi="Arial" w:cs="Arial"/>
          <w:sz w:val="24"/>
          <w:szCs w:val="24"/>
        </w:rPr>
        <w:t xml:space="preserve"> have aggregated the minimum annual local housing need figure calculated using the standard method and redistributed this to reflect the most sustainable pattern of development in the sub-region, as well as to align with City Deal growth aspirations in Preston and South </w:t>
      </w:r>
      <w:proofErr w:type="spellStart"/>
      <w:r w:rsidR="000A5758">
        <w:rPr>
          <w:rFonts w:ascii="Arial" w:hAnsi="Arial" w:cs="Arial"/>
          <w:sz w:val="24"/>
          <w:szCs w:val="24"/>
        </w:rPr>
        <w:t>Ribble</w:t>
      </w:r>
      <w:proofErr w:type="spellEnd"/>
      <w:r w:rsidR="000A5758">
        <w:rPr>
          <w:rFonts w:ascii="Arial" w:hAnsi="Arial" w:cs="Arial"/>
          <w:sz w:val="24"/>
          <w:szCs w:val="24"/>
        </w:rPr>
        <w:t xml:space="preserve"> specifically.</w:t>
      </w:r>
    </w:p>
    <w:p w14:paraId="5A792568" w14:textId="77777777" w:rsidR="00350CA9" w:rsidRDefault="00350CA9" w:rsidP="00D474BA">
      <w:pPr>
        <w:ind w:left="720" w:hanging="720"/>
        <w:jc w:val="both"/>
        <w:rPr>
          <w:rFonts w:ascii="Arial" w:hAnsi="Arial" w:cs="Arial"/>
          <w:sz w:val="24"/>
          <w:szCs w:val="24"/>
        </w:rPr>
      </w:pPr>
    </w:p>
    <w:p w14:paraId="4CFD331C" w14:textId="77777777" w:rsidR="0029291C" w:rsidRDefault="0029291C" w:rsidP="00D474BA">
      <w:pPr>
        <w:ind w:left="720" w:hanging="720"/>
        <w:jc w:val="both"/>
        <w:rPr>
          <w:rFonts w:ascii="Arial" w:hAnsi="Arial" w:cs="Arial"/>
          <w:sz w:val="24"/>
          <w:szCs w:val="24"/>
        </w:rPr>
      </w:pPr>
    </w:p>
    <w:p w14:paraId="289E9F9A" w14:textId="77777777" w:rsidR="0029291C" w:rsidRDefault="0029291C" w:rsidP="00D474BA">
      <w:pPr>
        <w:ind w:left="720" w:hanging="720"/>
        <w:jc w:val="both"/>
        <w:rPr>
          <w:rFonts w:ascii="Arial" w:hAnsi="Arial" w:cs="Arial"/>
          <w:sz w:val="24"/>
          <w:szCs w:val="24"/>
        </w:rPr>
      </w:pPr>
    </w:p>
    <w:p w14:paraId="685D9608" w14:textId="77777777" w:rsidR="0029291C" w:rsidRDefault="0029291C" w:rsidP="00D474BA">
      <w:pPr>
        <w:ind w:left="720" w:hanging="720"/>
        <w:jc w:val="both"/>
        <w:rPr>
          <w:rFonts w:ascii="Arial" w:hAnsi="Arial" w:cs="Arial"/>
          <w:sz w:val="24"/>
          <w:szCs w:val="24"/>
        </w:rPr>
      </w:pPr>
    </w:p>
    <w:p w14:paraId="759C84A1" w14:textId="47BA90CB" w:rsidR="00B57879" w:rsidRPr="00B57879" w:rsidRDefault="00B57879" w:rsidP="00D474BA">
      <w:pPr>
        <w:ind w:left="720" w:hanging="720"/>
        <w:jc w:val="both"/>
        <w:rPr>
          <w:rFonts w:ascii="Arial" w:hAnsi="Arial" w:cs="Arial"/>
          <w:b/>
          <w:sz w:val="24"/>
          <w:szCs w:val="24"/>
        </w:rPr>
      </w:pPr>
      <w:r w:rsidRPr="00B57879">
        <w:rPr>
          <w:rFonts w:ascii="Arial" w:hAnsi="Arial" w:cs="Arial"/>
          <w:b/>
          <w:sz w:val="24"/>
          <w:szCs w:val="24"/>
        </w:rPr>
        <w:lastRenderedPageBreak/>
        <w:t>7.</w:t>
      </w:r>
      <w:r w:rsidRPr="00B57879">
        <w:rPr>
          <w:rFonts w:ascii="Arial" w:hAnsi="Arial" w:cs="Arial"/>
          <w:b/>
          <w:sz w:val="24"/>
          <w:szCs w:val="24"/>
        </w:rPr>
        <w:tab/>
        <w:t>Current Requirements</w:t>
      </w:r>
    </w:p>
    <w:p w14:paraId="72FE44CC" w14:textId="7815EC60" w:rsidR="00D474BA" w:rsidRDefault="004272DE" w:rsidP="004272DE">
      <w:pPr>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474BA">
        <w:rPr>
          <w:rFonts w:ascii="Arial" w:hAnsi="Arial" w:cs="Arial"/>
          <w:sz w:val="24"/>
          <w:szCs w:val="24"/>
        </w:rPr>
        <w:t>T</w:t>
      </w:r>
      <w:r w:rsidR="0029291C">
        <w:rPr>
          <w:rFonts w:ascii="Arial" w:hAnsi="Arial" w:cs="Arial"/>
          <w:sz w:val="24"/>
          <w:szCs w:val="24"/>
        </w:rPr>
        <w:t>he implications of applying the</w:t>
      </w:r>
      <w:r w:rsidR="00D474BA">
        <w:rPr>
          <w:rFonts w:ascii="Arial" w:hAnsi="Arial" w:cs="Arial"/>
          <w:sz w:val="24"/>
          <w:szCs w:val="24"/>
        </w:rPr>
        <w:t xml:space="preserve"> recommended distribution to the local housing need within Central Lancashire</w:t>
      </w:r>
      <w:r w:rsidR="0029291C">
        <w:rPr>
          <w:rFonts w:ascii="Arial" w:hAnsi="Arial" w:cs="Arial"/>
          <w:sz w:val="24"/>
          <w:szCs w:val="24"/>
        </w:rPr>
        <w:t xml:space="preserve"> (at April 2019)</w:t>
      </w:r>
      <w:r w:rsidR="00D474BA">
        <w:rPr>
          <w:rFonts w:ascii="Arial" w:hAnsi="Arial" w:cs="Arial"/>
          <w:sz w:val="24"/>
          <w:szCs w:val="24"/>
        </w:rPr>
        <w:t xml:space="preserve"> is se</w:t>
      </w:r>
      <w:r w:rsidR="003E46E1">
        <w:rPr>
          <w:rFonts w:ascii="Arial" w:hAnsi="Arial" w:cs="Arial"/>
          <w:sz w:val="24"/>
          <w:szCs w:val="24"/>
        </w:rPr>
        <w:t xml:space="preserve">t out in </w:t>
      </w:r>
      <w:r w:rsidR="003E46E1" w:rsidRPr="003E46E1">
        <w:rPr>
          <w:rFonts w:ascii="Arial" w:hAnsi="Arial" w:cs="Arial"/>
          <w:b/>
          <w:sz w:val="24"/>
          <w:szCs w:val="24"/>
        </w:rPr>
        <w:t>T</w:t>
      </w:r>
      <w:r w:rsidR="00D474BA" w:rsidRPr="003E46E1">
        <w:rPr>
          <w:rFonts w:ascii="Arial" w:hAnsi="Arial" w:cs="Arial"/>
          <w:b/>
          <w:sz w:val="24"/>
          <w:szCs w:val="24"/>
        </w:rPr>
        <w:t>able</w:t>
      </w:r>
      <w:r w:rsidR="003E46E1" w:rsidRPr="003E46E1">
        <w:rPr>
          <w:rFonts w:ascii="Arial" w:hAnsi="Arial" w:cs="Arial"/>
          <w:b/>
          <w:sz w:val="24"/>
          <w:szCs w:val="24"/>
        </w:rPr>
        <w:t xml:space="preserve"> 2</w:t>
      </w:r>
      <w:r w:rsidR="00D474BA">
        <w:rPr>
          <w:rFonts w:ascii="Arial" w:hAnsi="Arial" w:cs="Arial"/>
          <w:sz w:val="24"/>
          <w:szCs w:val="24"/>
        </w:rPr>
        <w:t>, alongside the original distribution as calculated through the application of the standard methodology.</w:t>
      </w:r>
    </w:p>
    <w:p w14:paraId="1BFC818C" w14:textId="794888D0" w:rsidR="00EE2FE1" w:rsidRPr="003E46E1" w:rsidRDefault="00EE2FE1" w:rsidP="00D474BA">
      <w:pPr>
        <w:ind w:left="720" w:hanging="720"/>
        <w:jc w:val="both"/>
        <w:rPr>
          <w:rFonts w:ascii="Arial" w:hAnsi="Arial" w:cs="Arial"/>
          <w:b/>
        </w:rPr>
      </w:pPr>
      <w:r w:rsidRPr="003E46E1">
        <w:rPr>
          <w:rFonts w:ascii="Arial" w:hAnsi="Arial" w:cs="Arial"/>
          <w:b/>
        </w:rPr>
        <w:t xml:space="preserve">Table 2: </w:t>
      </w:r>
      <w:r w:rsidR="003E46E1" w:rsidRPr="003E46E1">
        <w:rPr>
          <w:rFonts w:ascii="Arial" w:hAnsi="Arial" w:cs="Arial"/>
          <w:b/>
        </w:rPr>
        <w:t>Implications of Recommended Distribution</w:t>
      </w:r>
    </w:p>
    <w:tbl>
      <w:tblPr>
        <w:tblStyle w:val="TableGrid"/>
        <w:tblW w:w="8777" w:type="dxa"/>
        <w:jc w:val="center"/>
        <w:tblLook w:val="04A0" w:firstRow="1" w:lastRow="0" w:firstColumn="1" w:lastColumn="0" w:noHBand="0" w:noVBand="1"/>
      </w:tblPr>
      <w:tblGrid>
        <w:gridCol w:w="4414"/>
        <w:gridCol w:w="1094"/>
        <w:gridCol w:w="1094"/>
        <w:gridCol w:w="1142"/>
        <w:gridCol w:w="1033"/>
      </w:tblGrid>
      <w:tr w:rsidR="00D474BA" w14:paraId="74204403" w14:textId="77777777" w:rsidTr="00D474BA">
        <w:trPr>
          <w:jc w:val="center"/>
        </w:trPr>
        <w:tc>
          <w:tcPr>
            <w:tcW w:w="4414" w:type="dxa"/>
            <w:shd w:val="clear" w:color="auto" w:fill="222C56"/>
            <w:vAlign w:val="center"/>
          </w:tcPr>
          <w:p w14:paraId="3FC7B08C" w14:textId="77777777" w:rsidR="00D474BA" w:rsidRDefault="00D474BA" w:rsidP="00342D89">
            <w:pPr>
              <w:pStyle w:val="BodyText"/>
              <w:ind w:left="0" w:firstLine="0"/>
            </w:pPr>
          </w:p>
        </w:tc>
        <w:tc>
          <w:tcPr>
            <w:tcW w:w="1094" w:type="dxa"/>
            <w:shd w:val="clear" w:color="auto" w:fill="222C56"/>
          </w:tcPr>
          <w:p w14:paraId="6ACCCF1C" w14:textId="77777777" w:rsidR="00D474BA" w:rsidRDefault="00D474BA" w:rsidP="00342D89">
            <w:pPr>
              <w:pStyle w:val="BodyText"/>
              <w:spacing w:before="60" w:after="60"/>
              <w:ind w:left="0" w:firstLine="0"/>
              <w:jc w:val="center"/>
            </w:pPr>
            <w:r>
              <w:t>CBC</w:t>
            </w:r>
          </w:p>
        </w:tc>
        <w:tc>
          <w:tcPr>
            <w:tcW w:w="1094" w:type="dxa"/>
            <w:shd w:val="clear" w:color="auto" w:fill="222C56"/>
          </w:tcPr>
          <w:p w14:paraId="4E3266B9" w14:textId="77777777" w:rsidR="00D474BA" w:rsidRDefault="00D474BA" w:rsidP="00342D89">
            <w:pPr>
              <w:pStyle w:val="BodyText"/>
              <w:spacing w:before="60" w:after="60"/>
              <w:ind w:left="0" w:firstLine="0"/>
              <w:jc w:val="center"/>
            </w:pPr>
            <w:r>
              <w:t>PCC</w:t>
            </w:r>
          </w:p>
        </w:tc>
        <w:tc>
          <w:tcPr>
            <w:tcW w:w="1142" w:type="dxa"/>
            <w:shd w:val="clear" w:color="auto" w:fill="222C56"/>
          </w:tcPr>
          <w:p w14:paraId="7E9BA34A" w14:textId="77777777" w:rsidR="00D474BA" w:rsidRDefault="00D474BA" w:rsidP="00342D89">
            <w:pPr>
              <w:pStyle w:val="BodyText"/>
              <w:spacing w:before="60" w:after="60"/>
              <w:ind w:left="0" w:firstLine="0"/>
              <w:jc w:val="center"/>
            </w:pPr>
            <w:r>
              <w:t>SRBC</w:t>
            </w:r>
          </w:p>
        </w:tc>
        <w:tc>
          <w:tcPr>
            <w:tcW w:w="1033" w:type="dxa"/>
            <w:shd w:val="clear" w:color="auto" w:fill="222C56"/>
          </w:tcPr>
          <w:p w14:paraId="33D45727" w14:textId="77777777" w:rsidR="00D474BA" w:rsidRDefault="00D474BA" w:rsidP="00342D89">
            <w:pPr>
              <w:pStyle w:val="BodyText"/>
              <w:spacing w:before="60" w:after="60"/>
              <w:ind w:left="0" w:firstLine="0"/>
              <w:jc w:val="center"/>
            </w:pPr>
            <w:r>
              <w:t>Total</w:t>
            </w:r>
          </w:p>
        </w:tc>
      </w:tr>
      <w:tr w:rsidR="00D474BA" w14:paraId="371DC9A5" w14:textId="77777777" w:rsidTr="00D474BA">
        <w:trPr>
          <w:jc w:val="center"/>
        </w:trPr>
        <w:tc>
          <w:tcPr>
            <w:tcW w:w="4414" w:type="dxa"/>
            <w:vAlign w:val="center"/>
          </w:tcPr>
          <w:p w14:paraId="14DE26EC" w14:textId="77777777" w:rsidR="00D474BA" w:rsidRDefault="00D474BA" w:rsidP="00342D89">
            <w:pPr>
              <w:pStyle w:val="BodyText"/>
              <w:ind w:left="0" w:firstLine="0"/>
            </w:pPr>
            <w:r>
              <w:t>Local Housing Need (Standard Method)</w:t>
            </w:r>
          </w:p>
        </w:tc>
        <w:tc>
          <w:tcPr>
            <w:tcW w:w="1094" w:type="dxa"/>
          </w:tcPr>
          <w:p w14:paraId="2987DAB7" w14:textId="77777777" w:rsidR="00D474BA" w:rsidRDefault="00D474BA" w:rsidP="00342D89">
            <w:pPr>
              <w:pStyle w:val="BodyText"/>
              <w:spacing w:before="60" w:after="60"/>
              <w:ind w:left="0" w:firstLine="0"/>
              <w:jc w:val="center"/>
            </w:pPr>
            <w:r>
              <w:t>579</w:t>
            </w:r>
          </w:p>
        </w:tc>
        <w:tc>
          <w:tcPr>
            <w:tcW w:w="1094" w:type="dxa"/>
          </w:tcPr>
          <w:p w14:paraId="5BDE740C" w14:textId="77777777" w:rsidR="00D474BA" w:rsidRDefault="00D474BA" w:rsidP="00342D89">
            <w:pPr>
              <w:pStyle w:val="BodyText"/>
              <w:spacing w:before="60" w:after="60"/>
              <w:ind w:left="0" w:firstLine="0"/>
              <w:jc w:val="center"/>
            </w:pPr>
            <w:r>
              <w:t>241</w:t>
            </w:r>
          </w:p>
        </w:tc>
        <w:tc>
          <w:tcPr>
            <w:tcW w:w="1142" w:type="dxa"/>
          </w:tcPr>
          <w:p w14:paraId="0016DAD6" w14:textId="77777777" w:rsidR="00D474BA" w:rsidRDefault="00D474BA" w:rsidP="00342D89">
            <w:pPr>
              <w:pStyle w:val="BodyText"/>
              <w:spacing w:before="60" w:after="60"/>
              <w:ind w:left="0" w:firstLine="0"/>
              <w:jc w:val="center"/>
            </w:pPr>
            <w:r>
              <w:t>206</w:t>
            </w:r>
          </w:p>
        </w:tc>
        <w:tc>
          <w:tcPr>
            <w:tcW w:w="1033" w:type="dxa"/>
          </w:tcPr>
          <w:p w14:paraId="07D5FB7E" w14:textId="77777777" w:rsidR="00D474BA" w:rsidRDefault="00D474BA" w:rsidP="00342D89">
            <w:pPr>
              <w:pStyle w:val="BodyText"/>
              <w:spacing w:before="60" w:after="60"/>
              <w:ind w:left="0" w:firstLine="0"/>
              <w:jc w:val="center"/>
            </w:pPr>
            <w:r>
              <w:t>1,026</w:t>
            </w:r>
          </w:p>
        </w:tc>
      </w:tr>
      <w:tr w:rsidR="00D474BA" w14:paraId="596A298C" w14:textId="77777777" w:rsidTr="00D474BA">
        <w:trPr>
          <w:jc w:val="center"/>
        </w:trPr>
        <w:tc>
          <w:tcPr>
            <w:tcW w:w="4414" w:type="dxa"/>
            <w:vAlign w:val="center"/>
          </w:tcPr>
          <w:p w14:paraId="0CCDA145" w14:textId="77777777" w:rsidR="00D474BA" w:rsidRDefault="00D474BA" w:rsidP="00342D89">
            <w:pPr>
              <w:pStyle w:val="BodyText"/>
              <w:ind w:left="0" w:firstLine="0"/>
            </w:pPr>
            <w:r>
              <w:t>% of Local Housing Need (Standard Method)</w:t>
            </w:r>
          </w:p>
        </w:tc>
        <w:tc>
          <w:tcPr>
            <w:tcW w:w="1094" w:type="dxa"/>
          </w:tcPr>
          <w:p w14:paraId="47B08BAA" w14:textId="77777777" w:rsidR="00D474BA" w:rsidRDefault="00D474BA" w:rsidP="00342D89">
            <w:pPr>
              <w:pStyle w:val="BodyText"/>
              <w:spacing w:before="60" w:after="60"/>
              <w:ind w:left="0" w:firstLine="0"/>
              <w:jc w:val="center"/>
            </w:pPr>
            <w:r>
              <w:t>57%</w:t>
            </w:r>
          </w:p>
        </w:tc>
        <w:tc>
          <w:tcPr>
            <w:tcW w:w="1094" w:type="dxa"/>
          </w:tcPr>
          <w:p w14:paraId="5AEACA0E" w14:textId="77777777" w:rsidR="00D474BA" w:rsidRDefault="00D474BA" w:rsidP="00342D89">
            <w:pPr>
              <w:pStyle w:val="BodyText"/>
              <w:spacing w:before="60" w:after="60"/>
              <w:ind w:left="0" w:firstLine="0"/>
              <w:jc w:val="center"/>
            </w:pPr>
            <w:r>
              <w:t>23%</w:t>
            </w:r>
          </w:p>
        </w:tc>
        <w:tc>
          <w:tcPr>
            <w:tcW w:w="1142" w:type="dxa"/>
          </w:tcPr>
          <w:p w14:paraId="7C5657FE" w14:textId="77777777" w:rsidR="00D474BA" w:rsidRDefault="00D474BA" w:rsidP="00342D89">
            <w:pPr>
              <w:pStyle w:val="BodyText"/>
              <w:spacing w:before="60" w:after="60"/>
              <w:ind w:left="0" w:firstLine="0"/>
              <w:jc w:val="center"/>
            </w:pPr>
            <w:r>
              <w:t>20%</w:t>
            </w:r>
          </w:p>
        </w:tc>
        <w:tc>
          <w:tcPr>
            <w:tcW w:w="1033" w:type="dxa"/>
          </w:tcPr>
          <w:p w14:paraId="177AB478" w14:textId="77777777" w:rsidR="00D474BA" w:rsidRDefault="00D474BA" w:rsidP="00342D89">
            <w:pPr>
              <w:pStyle w:val="BodyText"/>
              <w:spacing w:before="60" w:after="60"/>
              <w:ind w:left="0" w:firstLine="0"/>
              <w:jc w:val="center"/>
            </w:pPr>
            <w:r>
              <w:t>100%</w:t>
            </w:r>
          </w:p>
        </w:tc>
      </w:tr>
      <w:tr w:rsidR="00D474BA" w14:paraId="7EE7CF75" w14:textId="77777777" w:rsidTr="00D474BA">
        <w:trPr>
          <w:jc w:val="center"/>
        </w:trPr>
        <w:tc>
          <w:tcPr>
            <w:tcW w:w="4414" w:type="dxa"/>
            <w:shd w:val="clear" w:color="auto" w:fill="D9D9D9" w:themeFill="background1" w:themeFillShade="D9"/>
            <w:vAlign w:val="center"/>
          </w:tcPr>
          <w:p w14:paraId="4CE4F0D0" w14:textId="77777777" w:rsidR="00D474BA" w:rsidRPr="00BD01AF" w:rsidRDefault="00D474BA" w:rsidP="00342D89">
            <w:pPr>
              <w:pStyle w:val="BodyText"/>
              <w:ind w:left="0" w:firstLine="0"/>
              <w:rPr>
                <w:b/>
                <w:bCs/>
              </w:rPr>
            </w:pPr>
            <w:r w:rsidRPr="00BD01AF">
              <w:rPr>
                <w:b/>
                <w:bCs/>
              </w:rPr>
              <w:t>Recommended Distribution</w:t>
            </w:r>
            <w:r>
              <w:rPr>
                <w:b/>
                <w:bCs/>
              </w:rPr>
              <w:t xml:space="preserve"> (%)</w:t>
            </w:r>
          </w:p>
        </w:tc>
        <w:tc>
          <w:tcPr>
            <w:tcW w:w="1094" w:type="dxa"/>
            <w:shd w:val="clear" w:color="auto" w:fill="D9D9D9" w:themeFill="background1" w:themeFillShade="D9"/>
            <w:vAlign w:val="center"/>
          </w:tcPr>
          <w:p w14:paraId="05F73E19" w14:textId="77777777" w:rsidR="00D474BA" w:rsidRPr="00730EBF" w:rsidRDefault="00D474BA" w:rsidP="00342D89">
            <w:pPr>
              <w:pStyle w:val="BodyText"/>
              <w:spacing w:before="60" w:after="60"/>
              <w:ind w:left="0" w:firstLine="0"/>
              <w:jc w:val="center"/>
              <w:rPr>
                <w:b/>
              </w:rPr>
            </w:pPr>
            <w:r w:rsidRPr="00730EBF">
              <w:rPr>
                <w:b/>
              </w:rPr>
              <w:t>27.5%</w:t>
            </w:r>
          </w:p>
        </w:tc>
        <w:tc>
          <w:tcPr>
            <w:tcW w:w="1094" w:type="dxa"/>
            <w:shd w:val="clear" w:color="auto" w:fill="D9D9D9" w:themeFill="background1" w:themeFillShade="D9"/>
            <w:vAlign w:val="center"/>
          </w:tcPr>
          <w:p w14:paraId="7915F316" w14:textId="77777777" w:rsidR="00D474BA" w:rsidRPr="00730EBF" w:rsidRDefault="00D474BA" w:rsidP="00342D89">
            <w:pPr>
              <w:pStyle w:val="BodyText"/>
              <w:spacing w:before="60" w:after="60"/>
              <w:ind w:left="0" w:firstLine="0"/>
              <w:jc w:val="center"/>
              <w:rPr>
                <w:b/>
              </w:rPr>
            </w:pPr>
            <w:r w:rsidRPr="00730EBF">
              <w:rPr>
                <w:b/>
              </w:rPr>
              <w:t>40%</w:t>
            </w:r>
          </w:p>
        </w:tc>
        <w:tc>
          <w:tcPr>
            <w:tcW w:w="1142" w:type="dxa"/>
            <w:shd w:val="clear" w:color="auto" w:fill="D9D9D9" w:themeFill="background1" w:themeFillShade="D9"/>
          </w:tcPr>
          <w:p w14:paraId="5A1B8110" w14:textId="77777777" w:rsidR="00D474BA" w:rsidRPr="00730EBF" w:rsidRDefault="00D474BA" w:rsidP="00342D89">
            <w:pPr>
              <w:pStyle w:val="BodyText"/>
              <w:spacing w:before="60" w:after="60"/>
              <w:ind w:left="0" w:firstLine="0"/>
              <w:jc w:val="center"/>
              <w:rPr>
                <w:b/>
              </w:rPr>
            </w:pPr>
            <w:r w:rsidRPr="00730EBF">
              <w:rPr>
                <w:b/>
              </w:rPr>
              <w:t>32.5%</w:t>
            </w:r>
          </w:p>
        </w:tc>
        <w:tc>
          <w:tcPr>
            <w:tcW w:w="1033" w:type="dxa"/>
            <w:shd w:val="clear" w:color="auto" w:fill="D9D9D9" w:themeFill="background1" w:themeFillShade="D9"/>
          </w:tcPr>
          <w:p w14:paraId="6C331635" w14:textId="77777777" w:rsidR="00D474BA" w:rsidRPr="00730EBF" w:rsidRDefault="00D474BA" w:rsidP="00342D89">
            <w:pPr>
              <w:pStyle w:val="BodyText"/>
              <w:spacing w:before="60" w:after="60"/>
              <w:ind w:left="0" w:firstLine="0"/>
              <w:jc w:val="center"/>
              <w:rPr>
                <w:b/>
              </w:rPr>
            </w:pPr>
            <w:r w:rsidRPr="00730EBF">
              <w:rPr>
                <w:b/>
              </w:rPr>
              <w:t>100%</w:t>
            </w:r>
          </w:p>
        </w:tc>
      </w:tr>
      <w:tr w:rsidR="00D474BA" w14:paraId="61D5D016" w14:textId="77777777" w:rsidTr="00D474BA">
        <w:trPr>
          <w:jc w:val="center"/>
        </w:trPr>
        <w:tc>
          <w:tcPr>
            <w:tcW w:w="4414" w:type="dxa"/>
            <w:shd w:val="clear" w:color="auto" w:fill="D9D9D9" w:themeFill="background1" w:themeFillShade="D9"/>
            <w:vAlign w:val="center"/>
          </w:tcPr>
          <w:p w14:paraId="1E0EC466" w14:textId="77777777" w:rsidR="00D474BA" w:rsidRPr="00BD01AF" w:rsidRDefault="00D474BA" w:rsidP="00342D89">
            <w:pPr>
              <w:pStyle w:val="BodyText"/>
              <w:ind w:left="0" w:firstLine="0"/>
              <w:rPr>
                <w:b/>
                <w:bCs/>
              </w:rPr>
            </w:pPr>
            <w:r>
              <w:rPr>
                <w:b/>
                <w:bCs/>
              </w:rPr>
              <w:t>Local Housing Need (Iceni Analysis)</w:t>
            </w:r>
          </w:p>
        </w:tc>
        <w:tc>
          <w:tcPr>
            <w:tcW w:w="1094" w:type="dxa"/>
            <w:shd w:val="clear" w:color="auto" w:fill="D9D9D9" w:themeFill="background1" w:themeFillShade="D9"/>
            <w:vAlign w:val="center"/>
          </w:tcPr>
          <w:p w14:paraId="37915180" w14:textId="77777777" w:rsidR="00D474BA" w:rsidRPr="00730EBF" w:rsidRDefault="00D474BA" w:rsidP="00342D89">
            <w:pPr>
              <w:pStyle w:val="BodyText"/>
              <w:spacing w:before="60" w:after="60"/>
              <w:ind w:left="0" w:firstLine="0"/>
              <w:jc w:val="center"/>
              <w:rPr>
                <w:b/>
              </w:rPr>
            </w:pPr>
            <w:r w:rsidRPr="00730EBF">
              <w:rPr>
                <w:b/>
              </w:rPr>
              <w:t>282</w:t>
            </w:r>
          </w:p>
        </w:tc>
        <w:tc>
          <w:tcPr>
            <w:tcW w:w="1094" w:type="dxa"/>
            <w:shd w:val="clear" w:color="auto" w:fill="D9D9D9" w:themeFill="background1" w:themeFillShade="D9"/>
            <w:vAlign w:val="center"/>
          </w:tcPr>
          <w:p w14:paraId="5CF06A2C" w14:textId="77777777" w:rsidR="00D474BA" w:rsidRPr="00730EBF" w:rsidRDefault="00D474BA" w:rsidP="00342D89">
            <w:pPr>
              <w:pStyle w:val="BodyText"/>
              <w:spacing w:before="60" w:after="60"/>
              <w:ind w:left="0" w:firstLine="0"/>
              <w:jc w:val="center"/>
              <w:rPr>
                <w:b/>
              </w:rPr>
            </w:pPr>
            <w:r w:rsidRPr="00730EBF">
              <w:rPr>
                <w:b/>
              </w:rPr>
              <w:t>410</w:t>
            </w:r>
          </w:p>
        </w:tc>
        <w:tc>
          <w:tcPr>
            <w:tcW w:w="1142" w:type="dxa"/>
            <w:shd w:val="clear" w:color="auto" w:fill="D9D9D9" w:themeFill="background1" w:themeFillShade="D9"/>
          </w:tcPr>
          <w:p w14:paraId="0E260F8D" w14:textId="77777777" w:rsidR="00D474BA" w:rsidRPr="00730EBF" w:rsidRDefault="00D474BA" w:rsidP="00342D89">
            <w:pPr>
              <w:pStyle w:val="BodyText"/>
              <w:spacing w:before="60" w:after="60"/>
              <w:ind w:left="0" w:firstLine="0"/>
              <w:jc w:val="center"/>
              <w:rPr>
                <w:b/>
              </w:rPr>
            </w:pPr>
            <w:r w:rsidRPr="00730EBF">
              <w:rPr>
                <w:b/>
              </w:rPr>
              <w:t>334</w:t>
            </w:r>
          </w:p>
        </w:tc>
        <w:tc>
          <w:tcPr>
            <w:tcW w:w="1033" w:type="dxa"/>
            <w:shd w:val="clear" w:color="auto" w:fill="D9D9D9" w:themeFill="background1" w:themeFillShade="D9"/>
          </w:tcPr>
          <w:p w14:paraId="652F4779" w14:textId="77777777" w:rsidR="00D474BA" w:rsidRPr="00730EBF" w:rsidRDefault="00D474BA" w:rsidP="00342D89">
            <w:pPr>
              <w:pStyle w:val="BodyText"/>
              <w:spacing w:before="60" w:after="60"/>
              <w:ind w:left="0" w:firstLine="0"/>
              <w:jc w:val="center"/>
              <w:rPr>
                <w:b/>
              </w:rPr>
            </w:pPr>
            <w:r w:rsidRPr="00730EBF">
              <w:rPr>
                <w:b/>
              </w:rPr>
              <w:t>1,026</w:t>
            </w:r>
          </w:p>
        </w:tc>
      </w:tr>
    </w:tbl>
    <w:p w14:paraId="528128B6" w14:textId="31F8CFCA" w:rsidR="009060FF" w:rsidRPr="00516812" w:rsidRDefault="009060FF" w:rsidP="00D474BA">
      <w:pPr>
        <w:jc w:val="center"/>
        <w:rPr>
          <w:rFonts w:ascii="Arial" w:hAnsi="Arial" w:cs="Arial"/>
          <w:sz w:val="24"/>
          <w:szCs w:val="24"/>
        </w:rPr>
      </w:pPr>
    </w:p>
    <w:p w14:paraId="155197D3" w14:textId="25C6E7FF" w:rsidR="002856AB" w:rsidRDefault="0029291C" w:rsidP="002346C2">
      <w:pPr>
        <w:ind w:left="720" w:hanging="720"/>
        <w:jc w:val="both"/>
        <w:rPr>
          <w:rFonts w:ascii="Arial" w:hAnsi="Arial" w:cs="Arial"/>
          <w:sz w:val="24"/>
          <w:szCs w:val="24"/>
        </w:rPr>
      </w:pPr>
      <w:r>
        <w:rPr>
          <w:rFonts w:ascii="Arial" w:hAnsi="Arial" w:cs="Arial"/>
          <w:sz w:val="24"/>
          <w:szCs w:val="24"/>
        </w:rPr>
        <w:t>7.2</w:t>
      </w:r>
      <w:r w:rsidR="000F47EB">
        <w:rPr>
          <w:rFonts w:ascii="Arial" w:hAnsi="Arial" w:cs="Arial"/>
          <w:sz w:val="24"/>
          <w:szCs w:val="24"/>
        </w:rPr>
        <w:tab/>
      </w:r>
      <w:r w:rsidR="00745021">
        <w:rPr>
          <w:rFonts w:ascii="Arial" w:hAnsi="Arial" w:cs="Arial"/>
          <w:sz w:val="24"/>
          <w:szCs w:val="24"/>
        </w:rPr>
        <w:t>The actual minimum local housing need figures shown in Table 2 (above) provide a snapshot for the current monitoring year (2019/20). Given the standard method formula relies on ONS household growth projections, the actual figures are subject to change on an annual basis.</w:t>
      </w:r>
    </w:p>
    <w:p w14:paraId="61D74FFF" w14:textId="0604D575" w:rsidR="000F47EB" w:rsidRDefault="002856AB" w:rsidP="002346C2">
      <w:pPr>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0F47EB">
        <w:rPr>
          <w:rFonts w:ascii="Arial" w:hAnsi="Arial" w:cs="Arial"/>
          <w:sz w:val="24"/>
          <w:szCs w:val="24"/>
        </w:rPr>
        <w:t>In taking the decision through this MOU to adopt the minimum number of homes (albeit redistributed in accordance with the evidence), PPG is clear that past under delivery of new homes should not be taken into account, as the relevant affordability adjustment specifically addresses that point (</w:t>
      </w:r>
      <w:r w:rsidR="008F3332">
        <w:rPr>
          <w:rFonts w:ascii="Arial" w:hAnsi="Arial" w:cs="Arial"/>
          <w:sz w:val="24"/>
          <w:szCs w:val="24"/>
        </w:rPr>
        <w:t xml:space="preserve">PPG </w:t>
      </w:r>
      <w:r w:rsidR="000F47EB">
        <w:rPr>
          <w:rFonts w:ascii="Arial" w:hAnsi="Arial" w:cs="Arial"/>
          <w:sz w:val="24"/>
          <w:szCs w:val="24"/>
        </w:rPr>
        <w:t xml:space="preserve">Para </w:t>
      </w:r>
      <w:r w:rsidR="0090504F" w:rsidRPr="0090504F">
        <w:rPr>
          <w:rFonts w:ascii="Arial" w:hAnsi="Arial" w:cs="Arial"/>
          <w:sz w:val="24"/>
          <w:szCs w:val="24"/>
        </w:rPr>
        <w:t>2a-011-20190220</w:t>
      </w:r>
      <w:r w:rsidR="000F47EB">
        <w:rPr>
          <w:rFonts w:ascii="Arial" w:hAnsi="Arial" w:cs="Arial"/>
          <w:sz w:val="24"/>
          <w:szCs w:val="24"/>
        </w:rPr>
        <w:t xml:space="preserve">). </w:t>
      </w:r>
    </w:p>
    <w:p w14:paraId="6C6796FA" w14:textId="77777777" w:rsidR="00E801BC" w:rsidRDefault="00E801BC" w:rsidP="00453566">
      <w:pPr>
        <w:jc w:val="both"/>
        <w:rPr>
          <w:rFonts w:ascii="Arial" w:hAnsi="Arial" w:cs="Arial"/>
          <w:sz w:val="24"/>
          <w:szCs w:val="24"/>
        </w:rPr>
      </w:pPr>
    </w:p>
    <w:p w14:paraId="76A1ECA7" w14:textId="2C5F15B3" w:rsidR="00E801BC" w:rsidRPr="00E801BC" w:rsidRDefault="000E19EC" w:rsidP="00453566">
      <w:pPr>
        <w:jc w:val="both"/>
        <w:rPr>
          <w:rFonts w:ascii="Arial" w:hAnsi="Arial" w:cs="Arial"/>
          <w:b/>
          <w:sz w:val="24"/>
          <w:szCs w:val="24"/>
        </w:rPr>
      </w:pPr>
      <w:r>
        <w:rPr>
          <w:rFonts w:ascii="Arial" w:hAnsi="Arial" w:cs="Arial"/>
          <w:b/>
          <w:sz w:val="24"/>
          <w:szCs w:val="24"/>
        </w:rPr>
        <w:t>8</w:t>
      </w:r>
      <w:r w:rsidR="00E801BC" w:rsidRPr="00E801BC">
        <w:rPr>
          <w:rFonts w:ascii="Arial" w:hAnsi="Arial" w:cs="Arial"/>
          <w:b/>
          <w:sz w:val="24"/>
          <w:szCs w:val="24"/>
        </w:rPr>
        <w:t>.</w:t>
      </w:r>
      <w:r w:rsidR="00E801BC" w:rsidRPr="00E801BC">
        <w:rPr>
          <w:rFonts w:ascii="Arial" w:hAnsi="Arial" w:cs="Arial"/>
          <w:b/>
          <w:sz w:val="24"/>
          <w:szCs w:val="24"/>
        </w:rPr>
        <w:tab/>
        <w:t>Agreement</w:t>
      </w:r>
    </w:p>
    <w:p w14:paraId="486FD92E" w14:textId="57A15F39" w:rsidR="002D6763" w:rsidRDefault="00E677AE" w:rsidP="005E043D">
      <w:pPr>
        <w:ind w:left="720" w:hanging="720"/>
        <w:jc w:val="both"/>
        <w:rPr>
          <w:rFonts w:ascii="Arial" w:hAnsi="Arial" w:cs="Arial"/>
          <w:sz w:val="24"/>
          <w:szCs w:val="24"/>
        </w:rPr>
      </w:pPr>
      <w:r>
        <w:rPr>
          <w:rFonts w:ascii="Arial" w:hAnsi="Arial" w:cs="Arial"/>
          <w:sz w:val="24"/>
          <w:szCs w:val="24"/>
        </w:rPr>
        <w:t>8</w:t>
      </w:r>
      <w:r w:rsidR="00E801BC">
        <w:rPr>
          <w:rFonts w:ascii="Arial" w:hAnsi="Arial" w:cs="Arial"/>
          <w:sz w:val="24"/>
          <w:szCs w:val="24"/>
        </w:rPr>
        <w:t>.1</w:t>
      </w:r>
      <w:r w:rsidR="00E801BC">
        <w:rPr>
          <w:rFonts w:ascii="Arial" w:hAnsi="Arial" w:cs="Arial"/>
          <w:sz w:val="24"/>
          <w:szCs w:val="24"/>
        </w:rPr>
        <w:tab/>
      </w:r>
      <w:r w:rsidR="005E043D">
        <w:rPr>
          <w:rFonts w:ascii="Arial" w:hAnsi="Arial" w:cs="Arial"/>
          <w:sz w:val="24"/>
          <w:szCs w:val="24"/>
        </w:rPr>
        <w:t xml:space="preserve">Preston City Council, South </w:t>
      </w:r>
      <w:proofErr w:type="spellStart"/>
      <w:r w:rsidR="005E043D">
        <w:rPr>
          <w:rFonts w:ascii="Arial" w:hAnsi="Arial" w:cs="Arial"/>
          <w:sz w:val="24"/>
          <w:szCs w:val="24"/>
        </w:rPr>
        <w:t>Ribble</w:t>
      </w:r>
      <w:proofErr w:type="spellEnd"/>
      <w:r w:rsidR="005E043D">
        <w:rPr>
          <w:rFonts w:ascii="Arial" w:hAnsi="Arial" w:cs="Arial"/>
          <w:sz w:val="24"/>
          <w:szCs w:val="24"/>
        </w:rPr>
        <w:t xml:space="preserve"> Borough Council and Chorley Council hereby </w:t>
      </w:r>
      <w:r w:rsidR="002D6763">
        <w:rPr>
          <w:rFonts w:ascii="Arial" w:hAnsi="Arial" w:cs="Arial"/>
          <w:sz w:val="24"/>
          <w:szCs w:val="24"/>
        </w:rPr>
        <w:t>agree:</w:t>
      </w:r>
    </w:p>
    <w:p w14:paraId="6B00A2EC" w14:textId="74D958B7" w:rsidR="00A609F9" w:rsidRDefault="002D6763" w:rsidP="003E46E1">
      <w:pPr>
        <w:ind w:left="720"/>
        <w:jc w:val="both"/>
        <w:rPr>
          <w:rFonts w:ascii="Arial" w:hAnsi="Arial" w:cs="Arial"/>
          <w:sz w:val="24"/>
          <w:szCs w:val="24"/>
        </w:rPr>
      </w:pPr>
      <w:r>
        <w:rPr>
          <w:rFonts w:ascii="Arial" w:hAnsi="Arial" w:cs="Arial"/>
          <w:sz w:val="24"/>
          <w:szCs w:val="24"/>
        </w:rPr>
        <w:t xml:space="preserve">(a) </w:t>
      </w:r>
      <w:r w:rsidR="005E043D">
        <w:rPr>
          <w:rFonts w:ascii="Arial" w:hAnsi="Arial" w:cs="Arial"/>
          <w:sz w:val="24"/>
          <w:szCs w:val="24"/>
        </w:rPr>
        <w:t xml:space="preserve">to adopt the use of the standard method formula </w:t>
      </w:r>
      <w:r>
        <w:rPr>
          <w:rFonts w:ascii="Arial" w:hAnsi="Arial" w:cs="Arial"/>
          <w:sz w:val="24"/>
          <w:szCs w:val="24"/>
        </w:rPr>
        <w:t xml:space="preserve">to calculate the </w:t>
      </w:r>
      <w:r w:rsidRPr="009724C4">
        <w:rPr>
          <w:rFonts w:ascii="Arial" w:hAnsi="Arial" w:cs="Arial"/>
          <w:sz w:val="24"/>
          <w:szCs w:val="24"/>
        </w:rPr>
        <w:t>minimum</w:t>
      </w:r>
      <w:r>
        <w:rPr>
          <w:rFonts w:ascii="Arial" w:hAnsi="Arial" w:cs="Arial"/>
          <w:sz w:val="24"/>
          <w:szCs w:val="24"/>
        </w:rPr>
        <w:t xml:space="preserve"> number of homes nee</w:t>
      </w:r>
      <w:r w:rsidR="009724C4">
        <w:rPr>
          <w:rFonts w:ascii="Arial" w:hAnsi="Arial" w:cs="Arial"/>
          <w:sz w:val="24"/>
          <w:szCs w:val="24"/>
        </w:rPr>
        <w:t>ded in Central Lancashire (1,026</w:t>
      </w:r>
      <w:r>
        <w:rPr>
          <w:rFonts w:ascii="Arial" w:hAnsi="Arial" w:cs="Arial"/>
          <w:sz w:val="24"/>
          <w:szCs w:val="24"/>
        </w:rPr>
        <w:t xml:space="preserve"> pa</w:t>
      </w:r>
      <w:r w:rsidR="003E46E1">
        <w:rPr>
          <w:rFonts w:ascii="Arial" w:hAnsi="Arial" w:cs="Arial"/>
          <w:sz w:val="24"/>
          <w:szCs w:val="24"/>
        </w:rPr>
        <w:t xml:space="preserve"> as at April 2019</w:t>
      </w:r>
      <w:r>
        <w:rPr>
          <w:rFonts w:ascii="Arial" w:hAnsi="Arial" w:cs="Arial"/>
          <w:sz w:val="24"/>
          <w:szCs w:val="24"/>
        </w:rPr>
        <w:t>), in accordance with national policy, in replacement of the out-of-date housing requirements set out in Policy 4 of the Central Lancashire Core Strategy.</w:t>
      </w:r>
    </w:p>
    <w:p w14:paraId="7D9F1E13" w14:textId="02FB558F" w:rsidR="00A609F9" w:rsidRDefault="00A609F9" w:rsidP="002D6763">
      <w:pPr>
        <w:ind w:left="720"/>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to</w:t>
      </w:r>
      <w:proofErr w:type="gramEnd"/>
      <w:r>
        <w:rPr>
          <w:rFonts w:ascii="Arial" w:hAnsi="Arial" w:cs="Arial"/>
          <w:sz w:val="24"/>
          <w:szCs w:val="24"/>
        </w:rPr>
        <w:t xml:space="preserve"> apply the recommended distribution of homes as follows:</w:t>
      </w:r>
    </w:p>
    <w:p w14:paraId="7F0DFAA1" w14:textId="2E236CE3" w:rsidR="00A609F9" w:rsidRDefault="00A609F9" w:rsidP="003E46E1">
      <w:pPr>
        <w:ind w:left="720" w:firstLine="720"/>
        <w:jc w:val="both"/>
        <w:rPr>
          <w:rFonts w:ascii="Arial" w:hAnsi="Arial" w:cs="Arial"/>
          <w:sz w:val="24"/>
          <w:szCs w:val="24"/>
        </w:rPr>
      </w:pPr>
      <w:r>
        <w:rPr>
          <w:rFonts w:ascii="Arial" w:hAnsi="Arial" w:cs="Arial"/>
          <w:sz w:val="24"/>
          <w:szCs w:val="24"/>
        </w:rPr>
        <w:t>Preston</w:t>
      </w:r>
      <w:r w:rsidR="003E46E1">
        <w:rPr>
          <w:rFonts w:ascii="Arial" w:hAnsi="Arial" w:cs="Arial"/>
          <w:sz w:val="24"/>
          <w:szCs w:val="24"/>
        </w:rPr>
        <w:t>:</w:t>
      </w:r>
      <w:r w:rsidR="003E46E1">
        <w:rPr>
          <w:rFonts w:ascii="Arial" w:hAnsi="Arial" w:cs="Arial"/>
          <w:sz w:val="24"/>
          <w:szCs w:val="24"/>
        </w:rPr>
        <w:tab/>
      </w:r>
      <w:r w:rsidR="003E46E1">
        <w:rPr>
          <w:rFonts w:ascii="Arial" w:hAnsi="Arial" w:cs="Arial"/>
          <w:sz w:val="24"/>
          <w:szCs w:val="24"/>
        </w:rPr>
        <w:tab/>
      </w:r>
      <w:r>
        <w:rPr>
          <w:rFonts w:ascii="Arial" w:hAnsi="Arial" w:cs="Arial"/>
          <w:sz w:val="24"/>
          <w:szCs w:val="24"/>
        </w:rPr>
        <w:t>40%</w:t>
      </w:r>
    </w:p>
    <w:p w14:paraId="3DBBD10B" w14:textId="1E306E74" w:rsidR="003E46E1" w:rsidRDefault="003E46E1" w:rsidP="003E46E1">
      <w:pPr>
        <w:ind w:left="720" w:firstLine="720"/>
        <w:jc w:val="both"/>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32.5%</w:t>
      </w:r>
    </w:p>
    <w:p w14:paraId="76867E6F" w14:textId="4B4C007E" w:rsidR="00A609F9" w:rsidRDefault="003E46E1" w:rsidP="003E46E1">
      <w:pPr>
        <w:ind w:left="720" w:firstLine="720"/>
        <w:jc w:val="both"/>
        <w:rPr>
          <w:rFonts w:ascii="Arial" w:hAnsi="Arial" w:cs="Arial"/>
          <w:sz w:val="24"/>
          <w:szCs w:val="24"/>
        </w:rPr>
      </w:pPr>
      <w:r>
        <w:rPr>
          <w:rFonts w:ascii="Arial" w:hAnsi="Arial" w:cs="Arial"/>
          <w:sz w:val="24"/>
          <w:szCs w:val="24"/>
        </w:rPr>
        <w:t>Chorley:</w:t>
      </w:r>
      <w:r>
        <w:rPr>
          <w:rFonts w:ascii="Arial" w:hAnsi="Arial" w:cs="Arial"/>
          <w:sz w:val="24"/>
          <w:szCs w:val="24"/>
        </w:rPr>
        <w:tab/>
      </w:r>
      <w:r>
        <w:rPr>
          <w:rFonts w:ascii="Arial" w:hAnsi="Arial" w:cs="Arial"/>
          <w:sz w:val="24"/>
          <w:szCs w:val="24"/>
        </w:rPr>
        <w:tab/>
      </w:r>
      <w:r w:rsidR="00A609F9">
        <w:rPr>
          <w:rFonts w:ascii="Arial" w:hAnsi="Arial" w:cs="Arial"/>
          <w:sz w:val="24"/>
          <w:szCs w:val="24"/>
        </w:rPr>
        <w:t>27.5%</w:t>
      </w:r>
    </w:p>
    <w:p w14:paraId="677FB395" w14:textId="31150E90" w:rsidR="002D6763" w:rsidRPr="003D1C32" w:rsidRDefault="003E46E1" w:rsidP="003D1C32">
      <w:pPr>
        <w:ind w:left="720" w:firstLine="720"/>
        <w:jc w:val="both"/>
        <w:rPr>
          <w:rFonts w:ascii="Arial" w:hAnsi="Arial" w:cs="Arial"/>
          <w:b/>
          <w:sz w:val="24"/>
          <w:szCs w:val="24"/>
        </w:rPr>
      </w:pPr>
      <w:r w:rsidRPr="003E46E1">
        <w:rPr>
          <w:rFonts w:ascii="Arial" w:hAnsi="Arial" w:cs="Arial"/>
          <w:b/>
          <w:sz w:val="24"/>
          <w:szCs w:val="24"/>
        </w:rPr>
        <w:t>Total:</w:t>
      </w:r>
      <w:r w:rsidRPr="003E46E1">
        <w:rPr>
          <w:rFonts w:ascii="Arial" w:hAnsi="Arial" w:cs="Arial"/>
          <w:b/>
          <w:sz w:val="24"/>
          <w:szCs w:val="24"/>
        </w:rPr>
        <w:tab/>
      </w:r>
      <w:r w:rsidRPr="003E46E1">
        <w:rPr>
          <w:rFonts w:ascii="Arial" w:hAnsi="Arial" w:cs="Arial"/>
          <w:b/>
          <w:sz w:val="24"/>
          <w:szCs w:val="24"/>
        </w:rPr>
        <w:tab/>
      </w:r>
      <w:r w:rsidRPr="003E46E1">
        <w:rPr>
          <w:rFonts w:ascii="Arial" w:hAnsi="Arial" w:cs="Arial"/>
          <w:b/>
          <w:sz w:val="24"/>
          <w:szCs w:val="24"/>
        </w:rPr>
        <w:tab/>
        <w:t>100%</w:t>
      </w:r>
    </w:p>
    <w:p w14:paraId="0B95C4F5" w14:textId="70F5A5E3" w:rsidR="00BF51F9" w:rsidRDefault="003D1C32" w:rsidP="003E46E1">
      <w:pPr>
        <w:ind w:left="720"/>
        <w:jc w:val="both"/>
        <w:rPr>
          <w:rFonts w:ascii="Arial" w:hAnsi="Arial" w:cs="Arial"/>
          <w:sz w:val="24"/>
          <w:szCs w:val="24"/>
        </w:rPr>
      </w:pPr>
      <w:r>
        <w:rPr>
          <w:rFonts w:ascii="Arial" w:hAnsi="Arial" w:cs="Arial"/>
          <w:sz w:val="24"/>
          <w:szCs w:val="24"/>
        </w:rPr>
        <w:t>(c</w:t>
      </w:r>
      <w:r w:rsidR="003E46E1">
        <w:rPr>
          <w:rFonts w:ascii="Arial" w:hAnsi="Arial" w:cs="Arial"/>
          <w:sz w:val="24"/>
          <w:szCs w:val="24"/>
        </w:rPr>
        <w:t xml:space="preserve">) </w:t>
      </w:r>
      <w:proofErr w:type="gramStart"/>
      <w:r w:rsidR="009724C4">
        <w:rPr>
          <w:rFonts w:ascii="Arial" w:hAnsi="Arial" w:cs="Arial"/>
          <w:sz w:val="24"/>
          <w:szCs w:val="24"/>
        </w:rPr>
        <w:t>to</w:t>
      </w:r>
      <w:proofErr w:type="gramEnd"/>
      <w:r w:rsidR="009724C4">
        <w:rPr>
          <w:rFonts w:ascii="Arial" w:hAnsi="Arial" w:cs="Arial"/>
          <w:sz w:val="24"/>
          <w:szCs w:val="24"/>
        </w:rPr>
        <w:t xml:space="preserve"> </w:t>
      </w:r>
      <w:r w:rsidR="00E677AE">
        <w:rPr>
          <w:rFonts w:ascii="Arial" w:hAnsi="Arial" w:cs="Arial"/>
          <w:sz w:val="24"/>
          <w:szCs w:val="24"/>
        </w:rPr>
        <w:t>review</w:t>
      </w:r>
      <w:r w:rsidR="009724C4">
        <w:rPr>
          <w:rFonts w:ascii="Arial" w:hAnsi="Arial" w:cs="Arial"/>
          <w:sz w:val="24"/>
          <w:szCs w:val="24"/>
        </w:rPr>
        <w:t xml:space="preserve"> the </w:t>
      </w:r>
      <w:r w:rsidR="00E677AE">
        <w:rPr>
          <w:rFonts w:ascii="Arial" w:hAnsi="Arial" w:cs="Arial"/>
          <w:sz w:val="24"/>
          <w:szCs w:val="24"/>
        </w:rPr>
        <w:t xml:space="preserve">recommended distribution of homes set out in (b) </w:t>
      </w:r>
      <w:r w:rsidR="003E46E1">
        <w:rPr>
          <w:rFonts w:ascii="Arial" w:hAnsi="Arial" w:cs="Arial"/>
          <w:sz w:val="24"/>
          <w:szCs w:val="24"/>
        </w:rPr>
        <w:t>no less than every three years</w:t>
      </w:r>
      <w:r w:rsidR="00A609F9">
        <w:rPr>
          <w:rFonts w:ascii="Arial" w:hAnsi="Arial" w:cs="Arial"/>
          <w:sz w:val="24"/>
          <w:szCs w:val="24"/>
        </w:rPr>
        <w:t xml:space="preserve"> or </w:t>
      </w:r>
      <w:r w:rsidR="00912917">
        <w:rPr>
          <w:rFonts w:ascii="Arial" w:hAnsi="Arial" w:cs="Arial"/>
          <w:sz w:val="24"/>
          <w:szCs w:val="24"/>
        </w:rPr>
        <w:t xml:space="preserve">upon the adoption of a </w:t>
      </w:r>
      <w:r w:rsidR="009724C4">
        <w:rPr>
          <w:rFonts w:ascii="Arial" w:hAnsi="Arial" w:cs="Arial"/>
          <w:sz w:val="24"/>
          <w:szCs w:val="24"/>
        </w:rPr>
        <w:t>ne</w:t>
      </w:r>
      <w:r w:rsidR="003E46E1">
        <w:rPr>
          <w:rFonts w:ascii="Arial" w:hAnsi="Arial" w:cs="Arial"/>
          <w:sz w:val="24"/>
          <w:szCs w:val="24"/>
        </w:rPr>
        <w:t>w Central Lancashire Local Plan</w:t>
      </w:r>
      <w:r w:rsidR="009724C4">
        <w:rPr>
          <w:rFonts w:ascii="Arial" w:hAnsi="Arial" w:cs="Arial"/>
          <w:sz w:val="24"/>
          <w:szCs w:val="24"/>
        </w:rPr>
        <w:t xml:space="preserve">, </w:t>
      </w:r>
      <w:r w:rsidR="00A609F9">
        <w:rPr>
          <w:rFonts w:ascii="Arial" w:hAnsi="Arial" w:cs="Arial"/>
          <w:sz w:val="24"/>
          <w:szCs w:val="24"/>
        </w:rPr>
        <w:lastRenderedPageBreak/>
        <w:t>whicheve</w:t>
      </w:r>
      <w:r w:rsidR="003E46E1">
        <w:rPr>
          <w:rFonts w:ascii="Arial" w:hAnsi="Arial" w:cs="Arial"/>
          <w:sz w:val="24"/>
          <w:szCs w:val="24"/>
        </w:rPr>
        <w:t>r is sooner</w:t>
      </w:r>
      <w:r>
        <w:rPr>
          <w:rFonts w:ascii="Arial" w:hAnsi="Arial" w:cs="Arial"/>
          <w:sz w:val="24"/>
          <w:szCs w:val="24"/>
        </w:rPr>
        <w:t>, unless new evidence that renders this document out of date emerges.</w:t>
      </w:r>
    </w:p>
    <w:p w14:paraId="70459020" w14:textId="277181BC" w:rsidR="00E677AE" w:rsidRDefault="003D1C32" w:rsidP="003E46E1">
      <w:pPr>
        <w:ind w:left="720"/>
        <w:jc w:val="both"/>
        <w:rPr>
          <w:rFonts w:ascii="Arial" w:hAnsi="Arial" w:cs="Arial"/>
          <w:sz w:val="24"/>
          <w:szCs w:val="24"/>
        </w:rPr>
      </w:pPr>
      <w:r>
        <w:rPr>
          <w:rFonts w:ascii="Arial" w:hAnsi="Arial" w:cs="Arial"/>
          <w:sz w:val="24"/>
          <w:szCs w:val="24"/>
        </w:rPr>
        <w:t>(d</w:t>
      </w:r>
      <w:r w:rsidR="00E677AE">
        <w:rPr>
          <w:rFonts w:ascii="Arial" w:hAnsi="Arial" w:cs="Arial"/>
          <w:sz w:val="24"/>
          <w:szCs w:val="24"/>
        </w:rPr>
        <w:t xml:space="preserve">) to produce a Statement of Common Ground annually to update the </w:t>
      </w:r>
      <w:r>
        <w:rPr>
          <w:rFonts w:ascii="Arial" w:hAnsi="Arial" w:cs="Arial"/>
          <w:sz w:val="24"/>
          <w:szCs w:val="24"/>
        </w:rPr>
        <w:t>actual minimum housing requirements across Central Lancashire, in accordance with the agreed distribution set out in (b) until adoption of a new Central Lancashire Local Plan. At April 2019, these requirements are as follows:</w:t>
      </w:r>
    </w:p>
    <w:p w14:paraId="6E784E2B" w14:textId="77777777" w:rsidR="003D1C32" w:rsidRDefault="003D1C32" w:rsidP="003D1C32">
      <w:pPr>
        <w:ind w:left="720"/>
        <w:jc w:val="both"/>
        <w:rPr>
          <w:rFonts w:ascii="Arial" w:hAnsi="Arial" w:cs="Arial"/>
          <w:sz w:val="24"/>
          <w:szCs w:val="24"/>
        </w:rPr>
      </w:pPr>
      <w:r>
        <w:rPr>
          <w:rFonts w:ascii="Arial" w:hAnsi="Arial" w:cs="Arial"/>
          <w:sz w:val="24"/>
          <w:szCs w:val="24"/>
        </w:rPr>
        <w:tab/>
        <w:t>Preston:</w:t>
      </w:r>
      <w:r>
        <w:rPr>
          <w:rFonts w:ascii="Arial" w:hAnsi="Arial" w:cs="Arial"/>
          <w:sz w:val="24"/>
          <w:szCs w:val="24"/>
        </w:rPr>
        <w:tab/>
      </w:r>
      <w:r>
        <w:rPr>
          <w:rFonts w:ascii="Arial" w:hAnsi="Arial" w:cs="Arial"/>
          <w:sz w:val="24"/>
          <w:szCs w:val="24"/>
        </w:rPr>
        <w:tab/>
        <w:t>410 dwellings pa</w:t>
      </w:r>
    </w:p>
    <w:p w14:paraId="185BC325" w14:textId="77777777" w:rsidR="003D1C32" w:rsidRDefault="003D1C32" w:rsidP="003D1C32">
      <w:pPr>
        <w:ind w:left="720"/>
        <w:jc w:val="both"/>
        <w:rPr>
          <w:rFonts w:ascii="Arial" w:hAnsi="Arial" w:cs="Arial"/>
          <w:sz w:val="24"/>
          <w:szCs w:val="24"/>
        </w:rPr>
      </w:pP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334 dwellings pa</w:t>
      </w:r>
    </w:p>
    <w:p w14:paraId="135A1386" w14:textId="77777777" w:rsidR="003D1C32" w:rsidRDefault="003D1C32" w:rsidP="003D1C32">
      <w:pPr>
        <w:ind w:left="720"/>
        <w:jc w:val="both"/>
        <w:rPr>
          <w:rFonts w:ascii="Arial" w:hAnsi="Arial" w:cs="Arial"/>
          <w:sz w:val="24"/>
          <w:szCs w:val="24"/>
        </w:rPr>
      </w:pPr>
      <w:r>
        <w:rPr>
          <w:rFonts w:ascii="Arial" w:hAnsi="Arial" w:cs="Arial"/>
          <w:sz w:val="24"/>
          <w:szCs w:val="24"/>
        </w:rPr>
        <w:tab/>
        <w:t>Chorley:</w:t>
      </w:r>
      <w:r>
        <w:rPr>
          <w:rFonts w:ascii="Arial" w:hAnsi="Arial" w:cs="Arial"/>
          <w:sz w:val="24"/>
          <w:szCs w:val="24"/>
        </w:rPr>
        <w:tab/>
      </w:r>
      <w:r>
        <w:rPr>
          <w:rFonts w:ascii="Arial" w:hAnsi="Arial" w:cs="Arial"/>
          <w:sz w:val="24"/>
          <w:szCs w:val="24"/>
        </w:rPr>
        <w:tab/>
        <w:t>282 dwellings pa</w:t>
      </w:r>
    </w:p>
    <w:p w14:paraId="630D68B1" w14:textId="324604E3" w:rsidR="00856F58" w:rsidRDefault="003D1C32" w:rsidP="003D1C32">
      <w:pPr>
        <w:ind w:left="720"/>
        <w:jc w:val="both"/>
        <w:rPr>
          <w:rFonts w:ascii="Arial" w:hAnsi="Arial" w:cs="Arial"/>
          <w:b/>
          <w:sz w:val="24"/>
          <w:szCs w:val="24"/>
        </w:rPr>
      </w:pPr>
      <w:r>
        <w:rPr>
          <w:rFonts w:ascii="Arial" w:hAnsi="Arial" w:cs="Arial"/>
          <w:sz w:val="24"/>
          <w:szCs w:val="24"/>
        </w:rPr>
        <w:tab/>
      </w:r>
      <w:r w:rsidRPr="009724C4">
        <w:rPr>
          <w:rFonts w:ascii="Arial" w:hAnsi="Arial" w:cs="Arial"/>
          <w:b/>
          <w:sz w:val="24"/>
          <w:szCs w:val="24"/>
        </w:rPr>
        <w:t>Total:</w:t>
      </w:r>
      <w:r w:rsidRPr="009724C4">
        <w:rPr>
          <w:rFonts w:ascii="Arial" w:hAnsi="Arial" w:cs="Arial"/>
          <w:b/>
          <w:sz w:val="24"/>
          <w:szCs w:val="24"/>
        </w:rPr>
        <w:tab/>
      </w:r>
      <w:r w:rsidRPr="009724C4">
        <w:rPr>
          <w:rFonts w:ascii="Arial" w:hAnsi="Arial" w:cs="Arial"/>
          <w:b/>
          <w:sz w:val="24"/>
          <w:szCs w:val="24"/>
        </w:rPr>
        <w:tab/>
      </w:r>
      <w:r w:rsidRPr="009724C4">
        <w:rPr>
          <w:rFonts w:ascii="Arial" w:hAnsi="Arial" w:cs="Arial"/>
          <w:b/>
          <w:sz w:val="24"/>
          <w:szCs w:val="24"/>
        </w:rPr>
        <w:tab/>
        <w:t>1,026 dwellings pa</w:t>
      </w:r>
    </w:p>
    <w:p w14:paraId="641E1415" w14:textId="1D7BB2AB" w:rsidR="003D1C32" w:rsidRDefault="003D1C32" w:rsidP="003D1C32">
      <w:pPr>
        <w:ind w:left="720"/>
        <w:jc w:val="both"/>
        <w:rPr>
          <w:rFonts w:ascii="Arial" w:hAnsi="Arial" w:cs="Arial"/>
          <w:sz w:val="24"/>
          <w:szCs w:val="24"/>
        </w:rPr>
      </w:pPr>
      <w:r>
        <w:rPr>
          <w:rFonts w:ascii="Arial" w:hAnsi="Arial" w:cs="Arial"/>
          <w:sz w:val="24"/>
          <w:szCs w:val="24"/>
        </w:rPr>
        <w:t>(e) to co-operate in the performance and monitoring of the MOU generally and to monitor housing completions and each Council’s respective five-year housing land supply position against the requirements set out in (d) (or subsequent Statements of Common Ground) with immediate effect.</w:t>
      </w:r>
    </w:p>
    <w:p w14:paraId="53C1209B" w14:textId="181120A5" w:rsidR="003D1C32" w:rsidRDefault="003D1C32" w:rsidP="003D1C32">
      <w:pPr>
        <w:ind w:left="720"/>
        <w:jc w:val="both"/>
        <w:rPr>
          <w:rFonts w:ascii="Arial" w:hAnsi="Arial" w:cs="Arial"/>
          <w:sz w:val="24"/>
          <w:szCs w:val="24"/>
        </w:rPr>
      </w:pPr>
    </w:p>
    <w:p w14:paraId="0BB1A943" w14:textId="08ACAA49" w:rsidR="00BF51F9" w:rsidRPr="006F5BFD" w:rsidRDefault="00BF51F9" w:rsidP="00BF51F9">
      <w:pPr>
        <w:jc w:val="both"/>
        <w:rPr>
          <w:rFonts w:ascii="Arial" w:hAnsi="Arial" w:cs="Arial"/>
          <w:sz w:val="24"/>
          <w:szCs w:val="24"/>
        </w:rPr>
      </w:pPr>
      <w:r>
        <w:rPr>
          <w:rFonts w:ascii="Arial" w:hAnsi="Arial" w:cs="Arial"/>
          <w:sz w:val="24"/>
          <w:szCs w:val="24"/>
        </w:rPr>
        <w:t>______________________________________________________________________</w:t>
      </w:r>
    </w:p>
    <w:sectPr w:rsidR="00BF51F9" w:rsidRPr="006F5BFD" w:rsidSect="00126F33">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A6B95" w14:textId="77777777" w:rsidR="00626097" w:rsidRDefault="00626097" w:rsidP="00B67EAA">
      <w:pPr>
        <w:spacing w:after="0" w:line="240" w:lineRule="auto"/>
      </w:pPr>
      <w:r>
        <w:separator/>
      </w:r>
    </w:p>
  </w:endnote>
  <w:endnote w:type="continuationSeparator" w:id="0">
    <w:p w14:paraId="6C12390D" w14:textId="77777777" w:rsidR="00626097" w:rsidRDefault="00626097" w:rsidP="00B6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5EEC" w14:textId="77777777" w:rsidR="00375E65" w:rsidRDefault="0037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90BB" w14:textId="77777777" w:rsidR="00375E65" w:rsidRDefault="00375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5B30" w14:textId="77777777" w:rsidR="00375E65" w:rsidRDefault="0037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DDAC" w14:textId="77777777" w:rsidR="00626097" w:rsidRDefault="00626097" w:rsidP="00B67EAA">
      <w:pPr>
        <w:spacing w:after="0" w:line="240" w:lineRule="auto"/>
      </w:pPr>
      <w:r>
        <w:separator/>
      </w:r>
    </w:p>
  </w:footnote>
  <w:footnote w:type="continuationSeparator" w:id="0">
    <w:p w14:paraId="2BBA8956" w14:textId="77777777" w:rsidR="00626097" w:rsidRDefault="00626097" w:rsidP="00B6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DC39" w14:textId="77777777" w:rsidR="00375E65" w:rsidRDefault="00375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665C" w14:textId="21DA8C70" w:rsidR="00375E65" w:rsidRDefault="00375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A32B" w14:textId="2BC33CDC" w:rsidR="00375E65" w:rsidRDefault="00375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5E0"/>
    <w:multiLevelType w:val="multilevel"/>
    <w:tmpl w:val="D51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7568"/>
    <w:multiLevelType w:val="hybridMultilevel"/>
    <w:tmpl w:val="A37E8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D4271"/>
    <w:multiLevelType w:val="hybridMultilevel"/>
    <w:tmpl w:val="34C8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E47A4"/>
    <w:multiLevelType w:val="multilevel"/>
    <w:tmpl w:val="ACD291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F21DFD"/>
    <w:multiLevelType w:val="multilevel"/>
    <w:tmpl w:val="9F506CEA"/>
    <w:lvl w:ilvl="0">
      <w:start w:val="1"/>
      <w:numFmt w:val="decimal"/>
      <w:lvlText w:val="%1."/>
      <w:lvlJc w:val="left"/>
      <w:pPr>
        <w:ind w:left="795" w:hanging="360"/>
      </w:pPr>
    </w:lvl>
    <w:lvl w:ilvl="1">
      <w:start w:val="13"/>
      <w:numFmt w:val="decimal"/>
      <w:isLgl/>
      <w:lvlText w:val="%1.%2"/>
      <w:lvlJc w:val="left"/>
      <w:pPr>
        <w:ind w:left="855"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 w15:restartNumberingAfterBreak="0">
    <w:nsid w:val="1EC934B0"/>
    <w:multiLevelType w:val="hybridMultilevel"/>
    <w:tmpl w:val="18EC8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CC00C1"/>
    <w:multiLevelType w:val="multilevel"/>
    <w:tmpl w:val="6F8CA9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00A93"/>
    <w:multiLevelType w:val="hybridMultilevel"/>
    <w:tmpl w:val="DC262F76"/>
    <w:lvl w:ilvl="0" w:tplc="384E895E">
      <w:start w:val="1"/>
      <w:numFmt w:val="decimal"/>
      <w:pStyle w:val="Question"/>
      <w:lvlText w:val="%1)"/>
      <w:lvlJc w:val="left"/>
      <w:pPr>
        <w:ind w:left="360" w:hanging="360"/>
      </w:pPr>
      <w:rPr>
        <w:i w:val="0"/>
        <w:sz w:val="22"/>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575CAA"/>
    <w:multiLevelType w:val="hybridMultilevel"/>
    <w:tmpl w:val="E2A6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C2E45"/>
    <w:multiLevelType w:val="hybridMultilevel"/>
    <w:tmpl w:val="66D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B59E9"/>
    <w:multiLevelType w:val="hybridMultilevel"/>
    <w:tmpl w:val="269487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743B4E"/>
    <w:multiLevelType w:val="hybridMultilevel"/>
    <w:tmpl w:val="DC6A70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593991"/>
    <w:multiLevelType w:val="multilevel"/>
    <w:tmpl w:val="52DE88BE"/>
    <w:lvl w:ilvl="0">
      <w:start w:val="4"/>
      <w:numFmt w:val="decimal"/>
      <w:lvlText w:val="%1."/>
      <w:lvlJc w:val="left"/>
      <w:pPr>
        <w:ind w:left="36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55EB5972"/>
    <w:multiLevelType w:val="multilevel"/>
    <w:tmpl w:val="6268962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714601D"/>
    <w:multiLevelType w:val="hybridMultilevel"/>
    <w:tmpl w:val="E8F21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D2146"/>
    <w:multiLevelType w:val="multilevel"/>
    <w:tmpl w:val="561CE1C2"/>
    <w:lvl w:ilvl="0">
      <w:start w:val="4"/>
      <w:numFmt w:val="decimal"/>
      <w:lvlText w:val="%1."/>
      <w:lvlJc w:val="left"/>
      <w:pPr>
        <w:ind w:left="360" w:hanging="360"/>
      </w:pPr>
      <w:rPr>
        <w:rFonts w:hint="default"/>
        <w:sz w:val="32"/>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6450249E"/>
    <w:multiLevelType w:val="multilevel"/>
    <w:tmpl w:val="F6DAB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931EB3"/>
    <w:multiLevelType w:val="hybridMultilevel"/>
    <w:tmpl w:val="009828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1C478A"/>
    <w:multiLevelType w:val="multilevel"/>
    <w:tmpl w:val="7AF0EE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1A3CAC"/>
    <w:multiLevelType w:val="hybridMultilevel"/>
    <w:tmpl w:val="85267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19"/>
  </w:num>
  <w:num w:numId="6">
    <w:abstractNumId w:val="16"/>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7"/>
  </w:num>
  <w:num w:numId="14">
    <w:abstractNumId w:val="7"/>
    <w:lvlOverride w:ilvl="0">
      <w:startOverride w:val="1"/>
    </w:lvlOverride>
  </w:num>
  <w:num w:numId="15">
    <w:abstractNumId w:val="15"/>
  </w:num>
  <w:num w:numId="16">
    <w:abstractNumId w:val="3"/>
  </w:num>
  <w:num w:numId="17">
    <w:abstractNumId w:val="7"/>
  </w:num>
  <w:num w:numId="18">
    <w:abstractNumId w:val="7"/>
  </w:num>
  <w:num w:numId="19">
    <w:abstractNumId w:val="7"/>
  </w:num>
  <w:num w:numId="20">
    <w:abstractNumId w:val="0"/>
  </w:num>
  <w:num w:numId="21">
    <w:abstractNumId w:val="7"/>
  </w:num>
  <w:num w:numId="22">
    <w:abstractNumId w:val="7"/>
  </w:num>
  <w:num w:numId="23">
    <w:abstractNumId w:val="7"/>
  </w:num>
  <w:num w:numId="24">
    <w:abstractNumId w:val="7"/>
  </w:num>
  <w:num w:numId="25">
    <w:abstractNumId w:val="9"/>
  </w:num>
  <w:num w:numId="26">
    <w:abstractNumId w:val="8"/>
  </w:num>
  <w:num w:numId="27">
    <w:abstractNumId w:val="17"/>
  </w:num>
  <w:num w:numId="28">
    <w:abstractNumId w:val="11"/>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45"/>
    <w:rsid w:val="0000033B"/>
    <w:rsid w:val="00002184"/>
    <w:rsid w:val="000041C3"/>
    <w:rsid w:val="00004D87"/>
    <w:rsid w:val="00007515"/>
    <w:rsid w:val="00011E24"/>
    <w:rsid w:val="00016176"/>
    <w:rsid w:val="00016A9D"/>
    <w:rsid w:val="000218C6"/>
    <w:rsid w:val="00022999"/>
    <w:rsid w:val="00022C17"/>
    <w:rsid w:val="000264ED"/>
    <w:rsid w:val="000277F5"/>
    <w:rsid w:val="00030038"/>
    <w:rsid w:val="000317A6"/>
    <w:rsid w:val="00031EDA"/>
    <w:rsid w:val="00032D39"/>
    <w:rsid w:val="00040CAA"/>
    <w:rsid w:val="00042FDF"/>
    <w:rsid w:val="00043882"/>
    <w:rsid w:val="000440B0"/>
    <w:rsid w:val="000446F0"/>
    <w:rsid w:val="00044868"/>
    <w:rsid w:val="00045D25"/>
    <w:rsid w:val="000516C6"/>
    <w:rsid w:val="00052474"/>
    <w:rsid w:val="00052A06"/>
    <w:rsid w:val="00056205"/>
    <w:rsid w:val="00060E23"/>
    <w:rsid w:val="00063C4D"/>
    <w:rsid w:val="00064994"/>
    <w:rsid w:val="00064DED"/>
    <w:rsid w:val="00065373"/>
    <w:rsid w:val="00067314"/>
    <w:rsid w:val="000747A1"/>
    <w:rsid w:val="00075AF5"/>
    <w:rsid w:val="00080C16"/>
    <w:rsid w:val="00081800"/>
    <w:rsid w:val="00081CF2"/>
    <w:rsid w:val="0008280C"/>
    <w:rsid w:val="00083422"/>
    <w:rsid w:val="00086170"/>
    <w:rsid w:val="0009078D"/>
    <w:rsid w:val="00091C77"/>
    <w:rsid w:val="00092EFF"/>
    <w:rsid w:val="000930E9"/>
    <w:rsid w:val="0009354E"/>
    <w:rsid w:val="000965B0"/>
    <w:rsid w:val="00096B05"/>
    <w:rsid w:val="000A0416"/>
    <w:rsid w:val="000A4C85"/>
    <w:rsid w:val="000A5758"/>
    <w:rsid w:val="000A5784"/>
    <w:rsid w:val="000A5875"/>
    <w:rsid w:val="000B3118"/>
    <w:rsid w:val="000B31AB"/>
    <w:rsid w:val="000B420A"/>
    <w:rsid w:val="000B4A6C"/>
    <w:rsid w:val="000B523B"/>
    <w:rsid w:val="000B6C1A"/>
    <w:rsid w:val="000B6D3D"/>
    <w:rsid w:val="000B7C35"/>
    <w:rsid w:val="000C146D"/>
    <w:rsid w:val="000C198E"/>
    <w:rsid w:val="000C379F"/>
    <w:rsid w:val="000C4274"/>
    <w:rsid w:val="000C5DA8"/>
    <w:rsid w:val="000C5F4E"/>
    <w:rsid w:val="000D2872"/>
    <w:rsid w:val="000D3215"/>
    <w:rsid w:val="000D420D"/>
    <w:rsid w:val="000D4477"/>
    <w:rsid w:val="000D4E62"/>
    <w:rsid w:val="000E153E"/>
    <w:rsid w:val="000E19EC"/>
    <w:rsid w:val="000E202E"/>
    <w:rsid w:val="000E3FA9"/>
    <w:rsid w:val="000F1279"/>
    <w:rsid w:val="000F47EB"/>
    <w:rsid w:val="000F533B"/>
    <w:rsid w:val="0010032F"/>
    <w:rsid w:val="001022DE"/>
    <w:rsid w:val="00105D71"/>
    <w:rsid w:val="001064F6"/>
    <w:rsid w:val="00114B5F"/>
    <w:rsid w:val="00115593"/>
    <w:rsid w:val="001207B7"/>
    <w:rsid w:val="001233B3"/>
    <w:rsid w:val="00125D0C"/>
    <w:rsid w:val="00126307"/>
    <w:rsid w:val="00126F33"/>
    <w:rsid w:val="0012753B"/>
    <w:rsid w:val="00127EF9"/>
    <w:rsid w:val="00134B26"/>
    <w:rsid w:val="00135EDF"/>
    <w:rsid w:val="0013794C"/>
    <w:rsid w:val="00140802"/>
    <w:rsid w:val="001447C8"/>
    <w:rsid w:val="00145476"/>
    <w:rsid w:val="00147D4A"/>
    <w:rsid w:val="001522EE"/>
    <w:rsid w:val="001546E1"/>
    <w:rsid w:val="00154899"/>
    <w:rsid w:val="001551C4"/>
    <w:rsid w:val="00162417"/>
    <w:rsid w:val="001649F8"/>
    <w:rsid w:val="00164F81"/>
    <w:rsid w:val="00173232"/>
    <w:rsid w:val="00176CED"/>
    <w:rsid w:val="00177AA5"/>
    <w:rsid w:val="00185F60"/>
    <w:rsid w:val="00186242"/>
    <w:rsid w:val="001965F2"/>
    <w:rsid w:val="00197FF8"/>
    <w:rsid w:val="001A050C"/>
    <w:rsid w:val="001A2ABE"/>
    <w:rsid w:val="001A4D3A"/>
    <w:rsid w:val="001A4F24"/>
    <w:rsid w:val="001B09BD"/>
    <w:rsid w:val="001B0F71"/>
    <w:rsid w:val="001B5DCD"/>
    <w:rsid w:val="001B7BE8"/>
    <w:rsid w:val="001C24EE"/>
    <w:rsid w:val="001C2E32"/>
    <w:rsid w:val="001C3ACA"/>
    <w:rsid w:val="001C4B87"/>
    <w:rsid w:val="001D0790"/>
    <w:rsid w:val="001D39AF"/>
    <w:rsid w:val="001D4258"/>
    <w:rsid w:val="001D4688"/>
    <w:rsid w:val="001D4A59"/>
    <w:rsid w:val="001D7467"/>
    <w:rsid w:val="001D753D"/>
    <w:rsid w:val="001E488F"/>
    <w:rsid w:val="001E518B"/>
    <w:rsid w:val="001E6892"/>
    <w:rsid w:val="001F19DF"/>
    <w:rsid w:val="001F2A03"/>
    <w:rsid w:val="001F2A59"/>
    <w:rsid w:val="001F310E"/>
    <w:rsid w:val="001F34A3"/>
    <w:rsid w:val="001F683D"/>
    <w:rsid w:val="00200474"/>
    <w:rsid w:val="00201EA4"/>
    <w:rsid w:val="002048C3"/>
    <w:rsid w:val="0020793E"/>
    <w:rsid w:val="002128DD"/>
    <w:rsid w:val="00215286"/>
    <w:rsid w:val="00216CF9"/>
    <w:rsid w:val="00220FBB"/>
    <w:rsid w:val="00226FDB"/>
    <w:rsid w:val="00231923"/>
    <w:rsid w:val="002330CD"/>
    <w:rsid w:val="002334BF"/>
    <w:rsid w:val="0023388D"/>
    <w:rsid w:val="002346C2"/>
    <w:rsid w:val="00234F5E"/>
    <w:rsid w:val="0023583F"/>
    <w:rsid w:val="00240498"/>
    <w:rsid w:val="00241C5C"/>
    <w:rsid w:val="002426F4"/>
    <w:rsid w:val="002442F3"/>
    <w:rsid w:val="0024476C"/>
    <w:rsid w:val="00244DD0"/>
    <w:rsid w:val="00245A6A"/>
    <w:rsid w:val="0024634E"/>
    <w:rsid w:val="00251070"/>
    <w:rsid w:val="00251C77"/>
    <w:rsid w:val="0025252D"/>
    <w:rsid w:val="00252962"/>
    <w:rsid w:val="002538C6"/>
    <w:rsid w:val="002554BC"/>
    <w:rsid w:val="0025768D"/>
    <w:rsid w:val="00263690"/>
    <w:rsid w:val="00264C7A"/>
    <w:rsid w:val="0026561F"/>
    <w:rsid w:val="002679C1"/>
    <w:rsid w:val="00270280"/>
    <w:rsid w:val="00271EC1"/>
    <w:rsid w:val="0027242D"/>
    <w:rsid w:val="0027444C"/>
    <w:rsid w:val="00277A5D"/>
    <w:rsid w:val="00281656"/>
    <w:rsid w:val="00283932"/>
    <w:rsid w:val="00283DCF"/>
    <w:rsid w:val="0028415D"/>
    <w:rsid w:val="00285001"/>
    <w:rsid w:val="002856AB"/>
    <w:rsid w:val="00291C4E"/>
    <w:rsid w:val="00291D80"/>
    <w:rsid w:val="00292520"/>
    <w:rsid w:val="0029291C"/>
    <w:rsid w:val="002947E5"/>
    <w:rsid w:val="00296DF6"/>
    <w:rsid w:val="00296DFE"/>
    <w:rsid w:val="002A10D7"/>
    <w:rsid w:val="002A2270"/>
    <w:rsid w:val="002A2511"/>
    <w:rsid w:val="002A2B2E"/>
    <w:rsid w:val="002A360F"/>
    <w:rsid w:val="002A36F6"/>
    <w:rsid w:val="002A7E26"/>
    <w:rsid w:val="002B22C8"/>
    <w:rsid w:val="002B2758"/>
    <w:rsid w:val="002B71C4"/>
    <w:rsid w:val="002B781B"/>
    <w:rsid w:val="002C16DA"/>
    <w:rsid w:val="002C5776"/>
    <w:rsid w:val="002C6253"/>
    <w:rsid w:val="002C629D"/>
    <w:rsid w:val="002C660A"/>
    <w:rsid w:val="002C6AAD"/>
    <w:rsid w:val="002C7EBB"/>
    <w:rsid w:val="002D580C"/>
    <w:rsid w:val="002D6763"/>
    <w:rsid w:val="002E079E"/>
    <w:rsid w:val="002F0182"/>
    <w:rsid w:val="002F08E0"/>
    <w:rsid w:val="002F3990"/>
    <w:rsid w:val="002F4365"/>
    <w:rsid w:val="002F5821"/>
    <w:rsid w:val="002F6E8C"/>
    <w:rsid w:val="00300D6C"/>
    <w:rsid w:val="00302A1D"/>
    <w:rsid w:val="00302DE3"/>
    <w:rsid w:val="003049ED"/>
    <w:rsid w:val="003060A2"/>
    <w:rsid w:val="00307AB0"/>
    <w:rsid w:val="0031152E"/>
    <w:rsid w:val="00313BDD"/>
    <w:rsid w:val="003154ED"/>
    <w:rsid w:val="0032029A"/>
    <w:rsid w:val="0032181C"/>
    <w:rsid w:val="00325ACE"/>
    <w:rsid w:val="00326C9B"/>
    <w:rsid w:val="00332026"/>
    <w:rsid w:val="003326FB"/>
    <w:rsid w:val="003328BA"/>
    <w:rsid w:val="00333A52"/>
    <w:rsid w:val="003342E6"/>
    <w:rsid w:val="003357BE"/>
    <w:rsid w:val="003378F8"/>
    <w:rsid w:val="00340747"/>
    <w:rsid w:val="00340DBB"/>
    <w:rsid w:val="00342C20"/>
    <w:rsid w:val="00342D9D"/>
    <w:rsid w:val="00342EB6"/>
    <w:rsid w:val="00343E03"/>
    <w:rsid w:val="00343F3A"/>
    <w:rsid w:val="003441B3"/>
    <w:rsid w:val="00350CA9"/>
    <w:rsid w:val="00350FE0"/>
    <w:rsid w:val="00354264"/>
    <w:rsid w:val="00355A81"/>
    <w:rsid w:val="00355C25"/>
    <w:rsid w:val="003563F0"/>
    <w:rsid w:val="003614AD"/>
    <w:rsid w:val="00363F00"/>
    <w:rsid w:val="00370AE5"/>
    <w:rsid w:val="003718AF"/>
    <w:rsid w:val="003726FF"/>
    <w:rsid w:val="00374EEB"/>
    <w:rsid w:val="00375E65"/>
    <w:rsid w:val="00376263"/>
    <w:rsid w:val="00377F42"/>
    <w:rsid w:val="0038055E"/>
    <w:rsid w:val="00385C51"/>
    <w:rsid w:val="00385CB3"/>
    <w:rsid w:val="003919F7"/>
    <w:rsid w:val="00392C05"/>
    <w:rsid w:val="00396875"/>
    <w:rsid w:val="003A0C69"/>
    <w:rsid w:val="003A574E"/>
    <w:rsid w:val="003A5A82"/>
    <w:rsid w:val="003A649F"/>
    <w:rsid w:val="003A7128"/>
    <w:rsid w:val="003B3A32"/>
    <w:rsid w:val="003B406F"/>
    <w:rsid w:val="003B5736"/>
    <w:rsid w:val="003B5C90"/>
    <w:rsid w:val="003B7BBB"/>
    <w:rsid w:val="003C048B"/>
    <w:rsid w:val="003C0950"/>
    <w:rsid w:val="003C0D07"/>
    <w:rsid w:val="003C1850"/>
    <w:rsid w:val="003C1C9A"/>
    <w:rsid w:val="003C3268"/>
    <w:rsid w:val="003C36E3"/>
    <w:rsid w:val="003C3811"/>
    <w:rsid w:val="003C53DB"/>
    <w:rsid w:val="003C6498"/>
    <w:rsid w:val="003C7CA2"/>
    <w:rsid w:val="003D0C25"/>
    <w:rsid w:val="003D1C32"/>
    <w:rsid w:val="003D2B49"/>
    <w:rsid w:val="003D4D80"/>
    <w:rsid w:val="003D5DB5"/>
    <w:rsid w:val="003D7C1A"/>
    <w:rsid w:val="003E0145"/>
    <w:rsid w:val="003E126F"/>
    <w:rsid w:val="003E1560"/>
    <w:rsid w:val="003E181B"/>
    <w:rsid w:val="003E1AEB"/>
    <w:rsid w:val="003E32F5"/>
    <w:rsid w:val="003E3CF9"/>
    <w:rsid w:val="003E46E1"/>
    <w:rsid w:val="003E53DA"/>
    <w:rsid w:val="003F0115"/>
    <w:rsid w:val="003F0D06"/>
    <w:rsid w:val="003F0EDC"/>
    <w:rsid w:val="003F31CF"/>
    <w:rsid w:val="003F5746"/>
    <w:rsid w:val="003F6160"/>
    <w:rsid w:val="004029B6"/>
    <w:rsid w:val="00406FBE"/>
    <w:rsid w:val="0041588C"/>
    <w:rsid w:val="004172BD"/>
    <w:rsid w:val="00420536"/>
    <w:rsid w:val="00420F01"/>
    <w:rsid w:val="00421A0D"/>
    <w:rsid w:val="0042292B"/>
    <w:rsid w:val="004246A3"/>
    <w:rsid w:val="0042476C"/>
    <w:rsid w:val="0042534B"/>
    <w:rsid w:val="004254C7"/>
    <w:rsid w:val="004272DE"/>
    <w:rsid w:val="0043250C"/>
    <w:rsid w:val="00440170"/>
    <w:rsid w:val="004407F0"/>
    <w:rsid w:val="004414F1"/>
    <w:rsid w:val="00443126"/>
    <w:rsid w:val="0044379D"/>
    <w:rsid w:val="00443AFA"/>
    <w:rsid w:val="00443B31"/>
    <w:rsid w:val="0044504B"/>
    <w:rsid w:val="00445DFA"/>
    <w:rsid w:val="00446967"/>
    <w:rsid w:val="00453566"/>
    <w:rsid w:val="00456E16"/>
    <w:rsid w:val="00462352"/>
    <w:rsid w:val="00463DEB"/>
    <w:rsid w:val="00464F6A"/>
    <w:rsid w:val="0046601E"/>
    <w:rsid w:val="0047251A"/>
    <w:rsid w:val="00474521"/>
    <w:rsid w:val="00474D31"/>
    <w:rsid w:val="004768CF"/>
    <w:rsid w:val="00483024"/>
    <w:rsid w:val="00484188"/>
    <w:rsid w:val="0048475F"/>
    <w:rsid w:val="004859A9"/>
    <w:rsid w:val="00486893"/>
    <w:rsid w:val="00487759"/>
    <w:rsid w:val="00487EFF"/>
    <w:rsid w:val="004924FE"/>
    <w:rsid w:val="00496299"/>
    <w:rsid w:val="00497F19"/>
    <w:rsid w:val="004A188B"/>
    <w:rsid w:val="004A3958"/>
    <w:rsid w:val="004A4A6C"/>
    <w:rsid w:val="004A6EEF"/>
    <w:rsid w:val="004A73BD"/>
    <w:rsid w:val="004B5B43"/>
    <w:rsid w:val="004B5E9B"/>
    <w:rsid w:val="004C1275"/>
    <w:rsid w:val="004C316D"/>
    <w:rsid w:val="004C3CF9"/>
    <w:rsid w:val="004C4A89"/>
    <w:rsid w:val="004C64C8"/>
    <w:rsid w:val="004C6C6A"/>
    <w:rsid w:val="004D08FD"/>
    <w:rsid w:val="004D1083"/>
    <w:rsid w:val="004D3BCC"/>
    <w:rsid w:val="004D6533"/>
    <w:rsid w:val="004E19B7"/>
    <w:rsid w:val="004E2686"/>
    <w:rsid w:val="004E47E3"/>
    <w:rsid w:val="004E4C4F"/>
    <w:rsid w:val="004E5D10"/>
    <w:rsid w:val="004E5DE8"/>
    <w:rsid w:val="004E7BE0"/>
    <w:rsid w:val="004F00EE"/>
    <w:rsid w:val="004F3B22"/>
    <w:rsid w:val="004F7B1B"/>
    <w:rsid w:val="004F7D15"/>
    <w:rsid w:val="00501243"/>
    <w:rsid w:val="005012BA"/>
    <w:rsid w:val="00505E32"/>
    <w:rsid w:val="0051232B"/>
    <w:rsid w:val="00513EC0"/>
    <w:rsid w:val="00515C60"/>
    <w:rsid w:val="00516812"/>
    <w:rsid w:val="0052037B"/>
    <w:rsid w:val="00521365"/>
    <w:rsid w:val="00521E5E"/>
    <w:rsid w:val="00521F42"/>
    <w:rsid w:val="00526FB3"/>
    <w:rsid w:val="00531761"/>
    <w:rsid w:val="00531D8F"/>
    <w:rsid w:val="005328DE"/>
    <w:rsid w:val="0053769C"/>
    <w:rsid w:val="00537B08"/>
    <w:rsid w:val="0054217F"/>
    <w:rsid w:val="0054459F"/>
    <w:rsid w:val="00544758"/>
    <w:rsid w:val="0054754B"/>
    <w:rsid w:val="0055086D"/>
    <w:rsid w:val="00550BDD"/>
    <w:rsid w:val="00555E1F"/>
    <w:rsid w:val="00555FFE"/>
    <w:rsid w:val="00556197"/>
    <w:rsid w:val="00557B07"/>
    <w:rsid w:val="0056231F"/>
    <w:rsid w:val="00562555"/>
    <w:rsid w:val="00573003"/>
    <w:rsid w:val="00573554"/>
    <w:rsid w:val="00575E31"/>
    <w:rsid w:val="00580484"/>
    <w:rsid w:val="00581981"/>
    <w:rsid w:val="0058213C"/>
    <w:rsid w:val="0058506E"/>
    <w:rsid w:val="00592D0C"/>
    <w:rsid w:val="005A3F77"/>
    <w:rsid w:val="005A526C"/>
    <w:rsid w:val="005A764D"/>
    <w:rsid w:val="005A7B44"/>
    <w:rsid w:val="005A7F06"/>
    <w:rsid w:val="005B4A77"/>
    <w:rsid w:val="005B6267"/>
    <w:rsid w:val="005B73D4"/>
    <w:rsid w:val="005C0E81"/>
    <w:rsid w:val="005C29E8"/>
    <w:rsid w:val="005C374F"/>
    <w:rsid w:val="005C7862"/>
    <w:rsid w:val="005D006C"/>
    <w:rsid w:val="005D0F6B"/>
    <w:rsid w:val="005D13E9"/>
    <w:rsid w:val="005D1A6C"/>
    <w:rsid w:val="005D2AC2"/>
    <w:rsid w:val="005D6874"/>
    <w:rsid w:val="005E043D"/>
    <w:rsid w:val="005E26F8"/>
    <w:rsid w:val="005E42EF"/>
    <w:rsid w:val="005E45F6"/>
    <w:rsid w:val="005E6A50"/>
    <w:rsid w:val="005F3807"/>
    <w:rsid w:val="005F3D22"/>
    <w:rsid w:val="005F5C7C"/>
    <w:rsid w:val="005F6A54"/>
    <w:rsid w:val="00606B6A"/>
    <w:rsid w:val="006114C9"/>
    <w:rsid w:val="006116E1"/>
    <w:rsid w:val="006140B7"/>
    <w:rsid w:val="006157A7"/>
    <w:rsid w:val="0061593A"/>
    <w:rsid w:val="0062062C"/>
    <w:rsid w:val="0062144D"/>
    <w:rsid w:val="00624F06"/>
    <w:rsid w:val="00626097"/>
    <w:rsid w:val="006271A7"/>
    <w:rsid w:val="00627BF6"/>
    <w:rsid w:val="00633015"/>
    <w:rsid w:val="006348C7"/>
    <w:rsid w:val="00635B8F"/>
    <w:rsid w:val="0063645E"/>
    <w:rsid w:val="006370E8"/>
    <w:rsid w:val="00640A53"/>
    <w:rsid w:val="00643098"/>
    <w:rsid w:val="00643383"/>
    <w:rsid w:val="00643E53"/>
    <w:rsid w:val="00643F9E"/>
    <w:rsid w:val="00646E7B"/>
    <w:rsid w:val="00650E41"/>
    <w:rsid w:val="00657BCE"/>
    <w:rsid w:val="00661122"/>
    <w:rsid w:val="00661203"/>
    <w:rsid w:val="00662119"/>
    <w:rsid w:val="00662163"/>
    <w:rsid w:val="00662E93"/>
    <w:rsid w:val="006642DD"/>
    <w:rsid w:val="006653E5"/>
    <w:rsid w:val="00665C10"/>
    <w:rsid w:val="006669C5"/>
    <w:rsid w:val="00677A31"/>
    <w:rsid w:val="00677B20"/>
    <w:rsid w:val="00677D58"/>
    <w:rsid w:val="0068073E"/>
    <w:rsid w:val="0068101C"/>
    <w:rsid w:val="00682228"/>
    <w:rsid w:val="00682CE9"/>
    <w:rsid w:val="006836BE"/>
    <w:rsid w:val="0068454B"/>
    <w:rsid w:val="00685C1E"/>
    <w:rsid w:val="006861A2"/>
    <w:rsid w:val="006904B5"/>
    <w:rsid w:val="00692C55"/>
    <w:rsid w:val="00694E87"/>
    <w:rsid w:val="0069556D"/>
    <w:rsid w:val="006976B8"/>
    <w:rsid w:val="006979C3"/>
    <w:rsid w:val="006A097E"/>
    <w:rsid w:val="006A1928"/>
    <w:rsid w:val="006A199D"/>
    <w:rsid w:val="006A61E1"/>
    <w:rsid w:val="006A66B2"/>
    <w:rsid w:val="006B0543"/>
    <w:rsid w:val="006B0764"/>
    <w:rsid w:val="006B0FFF"/>
    <w:rsid w:val="006B19F0"/>
    <w:rsid w:val="006B237F"/>
    <w:rsid w:val="006B6EC8"/>
    <w:rsid w:val="006C49B3"/>
    <w:rsid w:val="006C4BD9"/>
    <w:rsid w:val="006C550E"/>
    <w:rsid w:val="006C657D"/>
    <w:rsid w:val="006D0B52"/>
    <w:rsid w:val="006D362F"/>
    <w:rsid w:val="006D3DD2"/>
    <w:rsid w:val="006D4B1F"/>
    <w:rsid w:val="006D5446"/>
    <w:rsid w:val="006D6161"/>
    <w:rsid w:val="006D679A"/>
    <w:rsid w:val="006D6934"/>
    <w:rsid w:val="006E0F24"/>
    <w:rsid w:val="006E5967"/>
    <w:rsid w:val="006E5A13"/>
    <w:rsid w:val="006E6222"/>
    <w:rsid w:val="006E73E1"/>
    <w:rsid w:val="006F3BA6"/>
    <w:rsid w:val="006F3EEA"/>
    <w:rsid w:val="006F5BFD"/>
    <w:rsid w:val="006F6BC7"/>
    <w:rsid w:val="006F7BA2"/>
    <w:rsid w:val="00701E26"/>
    <w:rsid w:val="00702BD8"/>
    <w:rsid w:val="007035BA"/>
    <w:rsid w:val="0070749A"/>
    <w:rsid w:val="00711149"/>
    <w:rsid w:val="00712A62"/>
    <w:rsid w:val="00712B2C"/>
    <w:rsid w:val="00713209"/>
    <w:rsid w:val="007133B8"/>
    <w:rsid w:val="00714283"/>
    <w:rsid w:val="00714804"/>
    <w:rsid w:val="00714A13"/>
    <w:rsid w:val="00714CA4"/>
    <w:rsid w:val="00717094"/>
    <w:rsid w:val="007173F9"/>
    <w:rsid w:val="00717985"/>
    <w:rsid w:val="007217F0"/>
    <w:rsid w:val="00723163"/>
    <w:rsid w:val="00730306"/>
    <w:rsid w:val="00730EBF"/>
    <w:rsid w:val="00731918"/>
    <w:rsid w:val="00733E72"/>
    <w:rsid w:val="0073539C"/>
    <w:rsid w:val="007370CB"/>
    <w:rsid w:val="00741233"/>
    <w:rsid w:val="00745021"/>
    <w:rsid w:val="00745C49"/>
    <w:rsid w:val="0074625F"/>
    <w:rsid w:val="00746CFB"/>
    <w:rsid w:val="0074703E"/>
    <w:rsid w:val="00747417"/>
    <w:rsid w:val="00750593"/>
    <w:rsid w:val="0075196D"/>
    <w:rsid w:val="00751B06"/>
    <w:rsid w:val="00752D91"/>
    <w:rsid w:val="007600F5"/>
    <w:rsid w:val="0076302D"/>
    <w:rsid w:val="00766E83"/>
    <w:rsid w:val="00771140"/>
    <w:rsid w:val="00773202"/>
    <w:rsid w:val="007765BE"/>
    <w:rsid w:val="00777D28"/>
    <w:rsid w:val="00782CDF"/>
    <w:rsid w:val="00784355"/>
    <w:rsid w:val="007855A7"/>
    <w:rsid w:val="007919E1"/>
    <w:rsid w:val="00792C66"/>
    <w:rsid w:val="00796852"/>
    <w:rsid w:val="007A0836"/>
    <w:rsid w:val="007A3543"/>
    <w:rsid w:val="007A3F8F"/>
    <w:rsid w:val="007B05E0"/>
    <w:rsid w:val="007B2320"/>
    <w:rsid w:val="007B262F"/>
    <w:rsid w:val="007B36B7"/>
    <w:rsid w:val="007B61B3"/>
    <w:rsid w:val="007B78A8"/>
    <w:rsid w:val="007B7D83"/>
    <w:rsid w:val="007B7F56"/>
    <w:rsid w:val="007C21AF"/>
    <w:rsid w:val="007C2AE9"/>
    <w:rsid w:val="007C4DD1"/>
    <w:rsid w:val="007C5AF4"/>
    <w:rsid w:val="007C73E0"/>
    <w:rsid w:val="007D099C"/>
    <w:rsid w:val="007D1422"/>
    <w:rsid w:val="007E0134"/>
    <w:rsid w:val="007E0A9A"/>
    <w:rsid w:val="007E0E81"/>
    <w:rsid w:val="007E1016"/>
    <w:rsid w:val="007E2288"/>
    <w:rsid w:val="007E2986"/>
    <w:rsid w:val="007E3806"/>
    <w:rsid w:val="007E592C"/>
    <w:rsid w:val="007F0126"/>
    <w:rsid w:val="007F0DA1"/>
    <w:rsid w:val="007F253A"/>
    <w:rsid w:val="00800EE4"/>
    <w:rsid w:val="00804F69"/>
    <w:rsid w:val="008105DC"/>
    <w:rsid w:val="00811429"/>
    <w:rsid w:val="008172A2"/>
    <w:rsid w:val="0082024E"/>
    <w:rsid w:val="00825652"/>
    <w:rsid w:val="00825B9C"/>
    <w:rsid w:val="00826EBD"/>
    <w:rsid w:val="008274ED"/>
    <w:rsid w:val="00827D0A"/>
    <w:rsid w:val="00827DAA"/>
    <w:rsid w:val="00827F0F"/>
    <w:rsid w:val="00830CE2"/>
    <w:rsid w:val="0083367E"/>
    <w:rsid w:val="008347B0"/>
    <w:rsid w:val="0083505F"/>
    <w:rsid w:val="00835740"/>
    <w:rsid w:val="008376A7"/>
    <w:rsid w:val="00837E39"/>
    <w:rsid w:val="008402E1"/>
    <w:rsid w:val="0084129C"/>
    <w:rsid w:val="00843F86"/>
    <w:rsid w:val="0085020C"/>
    <w:rsid w:val="00850EE7"/>
    <w:rsid w:val="00854250"/>
    <w:rsid w:val="00856F58"/>
    <w:rsid w:val="0085740C"/>
    <w:rsid w:val="00860004"/>
    <w:rsid w:val="00860FB7"/>
    <w:rsid w:val="00865A7A"/>
    <w:rsid w:val="00866920"/>
    <w:rsid w:val="0087010A"/>
    <w:rsid w:val="00870980"/>
    <w:rsid w:val="00874521"/>
    <w:rsid w:val="00874878"/>
    <w:rsid w:val="008805DF"/>
    <w:rsid w:val="0088103B"/>
    <w:rsid w:val="00882071"/>
    <w:rsid w:val="00885176"/>
    <w:rsid w:val="008858B7"/>
    <w:rsid w:val="008950E9"/>
    <w:rsid w:val="00896F84"/>
    <w:rsid w:val="008A04C3"/>
    <w:rsid w:val="008A697C"/>
    <w:rsid w:val="008A7193"/>
    <w:rsid w:val="008A7592"/>
    <w:rsid w:val="008B0A0F"/>
    <w:rsid w:val="008B4747"/>
    <w:rsid w:val="008B6486"/>
    <w:rsid w:val="008C0392"/>
    <w:rsid w:val="008C2A92"/>
    <w:rsid w:val="008C371D"/>
    <w:rsid w:val="008D04D0"/>
    <w:rsid w:val="008D1C98"/>
    <w:rsid w:val="008D47B3"/>
    <w:rsid w:val="008D4A06"/>
    <w:rsid w:val="008D5168"/>
    <w:rsid w:val="008D7346"/>
    <w:rsid w:val="008E3FC3"/>
    <w:rsid w:val="008E72DA"/>
    <w:rsid w:val="008E784C"/>
    <w:rsid w:val="008F1399"/>
    <w:rsid w:val="008F21FC"/>
    <w:rsid w:val="008F3332"/>
    <w:rsid w:val="008F43FF"/>
    <w:rsid w:val="008F4956"/>
    <w:rsid w:val="008F67E2"/>
    <w:rsid w:val="0090211D"/>
    <w:rsid w:val="0090289A"/>
    <w:rsid w:val="00903A30"/>
    <w:rsid w:val="00904308"/>
    <w:rsid w:val="00904819"/>
    <w:rsid w:val="0090504F"/>
    <w:rsid w:val="009060FF"/>
    <w:rsid w:val="00912917"/>
    <w:rsid w:val="00915F3F"/>
    <w:rsid w:val="0091788A"/>
    <w:rsid w:val="00917967"/>
    <w:rsid w:val="00921606"/>
    <w:rsid w:val="009217D8"/>
    <w:rsid w:val="0092246D"/>
    <w:rsid w:val="00922EFE"/>
    <w:rsid w:val="00923455"/>
    <w:rsid w:val="00925F31"/>
    <w:rsid w:val="00930DC6"/>
    <w:rsid w:val="00931845"/>
    <w:rsid w:val="00934D23"/>
    <w:rsid w:val="00936B69"/>
    <w:rsid w:val="00945E44"/>
    <w:rsid w:val="0094680B"/>
    <w:rsid w:val="00947B2C"/>
    <w:rsid w:val="00950269"/>
    <w:rsid w:val="00954D44"/>
    <w:rsid w:val="0095571E"/>
    <w:rsid w:val="00955781"/>
    <w:rsid w:val="00960225"/>
    <w:rsid w:val="00960362"/>
    <w:rsid w:val="00962520"/>
    <w:rsid w:val="00965A98"/>
    <w:rsid w:val="00965F86"/>
    <w:rsid w:val="0097061F"/>
    <w:rsid w:val="0097143B"/>
    <w:rsid w:val="009724C4"/>
    <w:rsid w:val="0097272D"/>
    <w:rsid w:val="00975A7E"/>
    <w:rsid w:val="00975E6E"/>
    <w:rsid w:val="00977C68"/>
    <w:rsid w:val="009801BC"/>
    <w:rsid w:val="00980F66"/>
    <w:rsid w:val="00981B7B"/>
    <w:rsid w:val="00982AA7"/>
    <w:rsid w:val="00982B2A"/>
    <w:rsid w:val="009845B6"/>
    <w:rsid w:val="00985531"/>
    <w:rsid w:val="0098724E"/>
    <w:rsid w:val="009935F3"/>
    <w:rsid w:val="009946C2"/>
    <w:rsid w:val="00994C24"/>
    <w:rsid w:val="009977B0"/>
    <w:rsid w:val="009A2F5B"/>
    <w:rsid w:val="009B6788"/>
    <w:rsid w:val="009B7E38"/>
    <w:rsid w:val="009C08DB"/>
    <w:rsid w:val="009C0E3C"/>
    <w:rsid w:val="009C246C"/>
    <w:rsid w:val="009C6075"/>
    <w:rsid w:val="009D0762"/>
    <w:rsid w:val="009D2BF5"/>
    <w:rsid w:val="009D4206"/>
    <w:rsid w:val="009D65AE"/>
    <w:rsid w:val="009D7513"/>
    <w:rsid w:val="009D7FDD"/>
    <w:rsid w:val="009E22CD"/>
    <w:rsid w:val="009E5CF3"/>
    <w:rsid w:val="009E60FF"/>
    <w:rsid w:val="009F09C5"/>
    <w:rsid w:val="009F53ED"/>
    <w:rsid w:val="009F60B0"/>
    <w:rsid w:val="00A01D27"/>
    <w:rsid w:val="00A022B5"/>
    <w:rsid w:val="00A05093"/>
    <w:rsid w:val="00A05194"/>
    <w:rsid w:val="00A060FA"/>
    <w:rsid w:val="00A07A97"/>
    <w:rsid w:val="00A1168B"/>
    <w:rsid w:val="00A121C6"/>
    <w:rsid w:val="00A14AAA"/>
    <w:rsid w:val="00A15750"/>
    <w:rsid w:val="00A2093B"/>
    <w:rsid w:val="00A22405"/>
    <w:rsid w:val="00A22F47"/>
    <w:rsid w:val="00A26614"/>
    <w:rsid w:val="00A31057"/>
    <w:rsid w:val="00A320D4"/>
    <w:rsid w:val="00A33326"/>
    <w:rsid w:val="00A349FC"/>
    <w:rsid w:val="00A35265"/>
    <w:rsid w:val="00A408CA"/>
    <w:rsid w:val="00A40DA7"/>
    <w:rsid w:val="00A4267F"/>
    <w:rsid w:val="00A441EE"/>
    <w:rsid w:val="00A530BC"/>
    <w:rsid w:val="00A53FEC"/>
    <w:rsid w:val="00A609F9"/>
    <w:rsid w:val="00A60F3C"/>
    <w:rsid w:val="00A6338E"/>
    <w:rsid w:val="00A635DC"/>
    <w:rsid w:val="00A6396B"/>
    <w:rsid w:val="00A729DE"/>
    <w:rsid w:val="00A73E36"/>
    <w:rsid w:val="00A74882"/>
    <w:rsid w:val="00A74A42"/>
    <w:rsid w:val="00A754E1"/>
    <w:rsid w:val="00A763F9"/>
    <w:rsid w:val="00A80828"/>
    <w:rsid w:val="00A82C5D"/>
    <w:rsid w:val="00A837AE"/>
    <w:rsid w:val="00A83E1D"/>
    <w:rsid w:val="00A86474"/>
    <w:rsid w:val="00A909BB"/>
    <w:rsid w:val="00A91666"/>
    <w:rsid w:val="00A92191"/>
    <w:rsid w:val="00A93D87"/>
    <w:rsid w:val="00A9688B"/>
    <w:rsid w:val="00AA1FCC"/>
    <w:rsid w:val="00AA3F05"/>
    <w:rsid w:val="00AA4BC4"/>
    <w:rsid w:val="00AA500A"/>
    <w:rsid w:val="00AB44D5"/>
    <w:rsid w:val="00AC0A50"/>
    <w:rsid w:val="00AC0D01"/>
    <w:rsid w:val="00AC1AE3"/>
    <w:rsid w:val="00AC33E4"/>
    <w:rsid w:val="00AE0B27"/>
    <w:rsid w:val="00AE16DF"/>
    <w:rsid w:val="00AE2A96"/>
    <w:rsid w:val="00AE6DE2"/>
    <w:rsid w:val="00AF18BC"/>
    <w:rsid w:val="00AF19A2"/>
    <w:rsid w:val="00AF1CE8"/>
    <w:rsid w:val="00AF2691"/>
    <w:rsid w:val="00AF5A5B"/>
    <w:rsid w:val="00AF5FF4"/>
    <w:rsid w:val="00AF76A4"/>
    <w:rsid w:val="00B03B3A"/>
    <w:rsid w:val="00B054A2"/>
    <w:rsid w:val="00B07773"/>
    <w:rsid w:val="00B07FAE"/>
    <w:rsid w:val="00B10504"/>
    <w:rsid w:val="00B1454D"/>
    <w:rsid w:val="00B200A8"/>
    <w:rsid w:val="00B21B45"/>
    <w:rsid w:val="00B30BDB"/>
    <w:rsid w:val="00B36A75"/>
    <w:rsid w:val="00B40C12"/>
    <w:rsid w:val="00B41D68"/>
    <w:rsid w:val="00B42E23"/>
    <w:rsid w:val="00B432CD"/>
    <w:rsid w:val="00B445C8"/>
    <w:rsid w:val="00B44CF3"/>
    <w:rsid w:val="00B45005"/>
    <w:rsid w:val="00B46F53"/>
    <w:rsid w:val="00B4740D"/>
    <w:rsid w:val="00B5000E"/>
    <w:rsid w:val="00B50DC3"/>
    <w:rsid w:val="00B529BA"/>
    <w:rsid w:val="00B541C5"/>
    <w:rsid w:val="00B550C2"/>
    <w:rsid w:val="00B57879"/>
    <w:rsid w:val="00B65E25"/>
    <w:rsid w:val="00B67EAA"/>
    <w:rsid w:val="00B70D9D"/>
    <w:rsid w:val="00B73DC3"/>
    <w:rsid w:val="00B7447C"/>
    <w:rsid w:val="00B75C50"/>
    <w:rsid w:val="00B869A2"/>
    <w:rsid w:val="00B90A43"/>
    <w:rsid w:val="00B95054"/>
    <w:rsid w:val="00B9526A"/>
    <w:rsid w:val="00B95B6F"/>
    <w:rsid w:val="00BA05FF"/>
    <w:rsid w:val="00BA1093"/>
    <w:rsid w:val="00BA29D5"/>
    <w:rsid w:val="00BA3101"/>
    <w:rsid w:val="00BA45E5"/>
    <w:rsid w:val="00BA770C"/>
    <w:rsid w:val="00BB0FB6"/>
    <w:rsid w:val="00BB1713"/>
    <w:rsid w:val="00BB4569"/>
    <w:rsid w:val="00BB527F"/>
    <w:rsid w:val="00BB7C1E"/>
    <w:rsid w:val="00BC066A"/>
    <w:rsid w:val="00BC1963"/>
    <w:rsid w:val="00BC1F63"/>
    <w:rsid w:val="00BC4B3C"/>
    <w:rsid w:val="00BC4C8B"/>
    <w:rsid w:val="00BC6320"/>
    <w:rsid w:val="00BC6C8A"/>
    <w:rsid w:val="00BC7704"/>
    <w:rsid w:val="00BD01C2"/>
    <w:rsid w:val="00BD2FEC"/>
    <w:rsid w:val="00BD3516"/>
    <w:rsid w:val="00BD563A"/>
    <w:rsid w:val="00BD7478"/>
    <w:rsid w:val="00BE057C"/>
    <w:rsid w:val="00BF14F7"/>
    <w:rsid w:val="00BF2278"/>
    <w:rsid w:val="00BF3692"/>
    <w:rsid w:val="00BF51F9"/>
    <w:rsid w:val="00BF5663"/>
    <w:rsid w:val="00C00BD3"/>
    <w:rsid w:val="00C03CA6"/>
    <w:rsid w:val="00C05D61"/>
    <w:rsid w:val="00C05F8C"/>
    <w:rsid w:val="00C06F31"/>
    <w:rsid w:val="00C07C20"/>
    <w:rsid w:val="00C140EF"/>
    <w:rsid w:val="00C1592B"/>
    <w:rsid w:val="00C160DC"/>
    <w:rsid w:val="00C176D4"/>
    <w:rsid w:val="00C2004C"/>
    <w:rsid w:val="00C2038A"/>
    <w:rsid w:val="00C244E9"/>
    <w:rsid w:val="00C26FF5"/>
    <w:rsid w:val="00C303E4"/>
    <w:rsid w:val="00C3083F"/>
    <w:rsid w:val="00C33283"/>
    <w:rsid w:val="00C35517"/>
    <w:rsid w:val="00C36C7B"/>
    <w:rsid w:val="00C370FB"/>
    <w:rsid w:val="00C4027D"/>
    <w:rsid w:val="00C41F59"/>
    <w:rsid w:val="00C449A4"/>
    <w:rsid w:val="00C47EC0"/>
    <w:rsid w:val="00C525FB"/>
    <w:rsid w:val="00C52BD0"/>
    <w:rsid w:val="00C54702"/>
    <w:rsid w:val="00C670AC"/>
    <w:rsid w:val="00C71C4C"/>
    <w:rsid w:val="00C7383A"/>
    <w:rsid w:val="00C742CE"/>
    <w:rsid w:val="00C74C03"/>
    <w:rsid w:val="00C75836"/>
    <w:rsid w:val="00C76331"/>
    <w:rsid w:val="00C8036E"/>
    <w:rsid w:val="00C8087F"/>
    <w:rsid w:val="00C82DBD"/>
    <w:rsid w:val="00C857F1"/>
    <w:rsid w:val="00C862A4"/>
    <w:rsid w:val="00C8642B"/>
    <w:rsid w:val="00C927AE"/>
    <w:rsid w:val="00C97499"/>
    <w:rsid w:val="00CA0F66"/>
    <w:rsid w:val="00CA14C2"/>
    <w:rsid w:val="00CA2940"/>
    <w:rsid w:val="00CA2C99"/>
    <w:rsid w:val="00CA43B7"/>
    <w:rsid w:val="00CA5F16"/>
    <w:rsid w:val="00CB0B7D"/>
    <w:rsid w:val="00CB2205"/>
    <w:rsid w:val="00CB5AF4"/>
    <w:rsid w:val="00CB6FBE"/>
    <w:rsid w:val="00CC1856"/>
    <w:rsid w:val="00CC1D3B"/>
    <w:rsid w:val="00CC21C2"/>
    <w:rsid w:val="00CC2834"/>
    <w:rsid w:val="00CC3C95"/>
    <w:rsid w:val="00CC498A"/>
    <w:rsid w:val="00CC74CF"/>
    <w:rsid w:val="00CC7F80"/>
    <w:rsid w:val="00CD2A7E"/>
    <w:rsid w:val="00CD2D9D"/>
    <w:rsid w:val="00CD30C1"/>
    <w:rsid w:val="00CD4265"/>
    <w:rsid w:val="00CD508E"/>
    <w:rsid w:val="00CD5B5F"/>
    <w:rsid w:val="00CD747E"/>
    <w:rsid w:val="00CD765E"/>
    <w:rsid w:val="00CE0832"/>
    <w:rsid w:val="00CE1646"/>
    <w:rsid w:val="00CE20CE"/>
    <w:rsid w:val="00CE3A39"/>
    <w:rsid w:val="00CE41FB"/>
    <w:rsid w:val="00CE4288"/>
    <w:rsid w:val="00CE4321"/>
    <w:rsid w:val="00CE6483"/>
    <w:rsid w:val="00CE6538"/>
    <w:rsid w:val="00CE66E3"/>
    <w:rsid w:val="00CF1B28"/>
    <w:rsid w:val="00CF5789"/>
    <w:rsid w:val="00CF69B3"/>
    <w:rsid w:val="00D003AB"/>
    <w:rsid w:val="00D02414"/>
    <w:rsid w:val="00D02591"/>
    <w:rsid w:val="00D13E8B"/>
    <w:rsid w:val="00D179CC"/>
    <w:rsid w:val="00D22711"/>
    <w:rsid w:val="00D23981"/>
    <w:rsid w:val="00D31D54"/>
    <w:rsid w:val="00D3323B"/>
    <w:rsid w:val="00D35761"/>
    <w:rsid w:val="00D369DD"/>
    <w:rsid w:val="00D37B29"/>
    <w:rsid w:val="00D37DF1"/>
    <w:rsid w:val="00D42F18"/>
    <w:rsid w:val="00D45BC0"/>
    <w:rsid w:val="00D46F11"/>
    <w:rsid w:val="00D474BA"/>
    <w:rsid w:val="00D50C30"/>
    <w:rsid w:val="00D62440"/>
    <w:rsid w:val="00D63E95"/>
    <w:rsid w:val="00D63FDE"/>
    <w:rsid w:val="00D64664"/>
    <w:rsid w:val="00D65DC1"/>
    <w:rsid w:val="00D71E19"/>
    <w:rsid w:val="00D822A1"/>
    <w:rsid w:val="00D830CD"/>
    <w:rsid w:val="00D841D7"/>
    <w:rsid w:val="00D8640C"/>
    <w:rsid w:val="00D91F0F"/>
    <w:rsid w:val="00D9213A"/>
    <w:rsid w:val="00D93807"/>
    <w:rsid w:val="00D95241"/>
    <w:rsid w:val="00D9724C"/>
    <w:rsid w:val="00D97548"/>
    <w:rsid w:val="00D9766D"/>
    <w:rsid w:val="00DA3FC5"/>
    <w:rsid w:val="00DA502B"/>
    <w:rsid w:val="00DA5490"/>
    <w:rsid w:val="00DA5C37"/>
    <w:rsid w:val="00DA6A54"/>
    <w:rsid w:val="00DA7B4D"/>
    <w:rsid w:val="00DB13BD"/>
    <w:rsid w:val="00DB4D62"/>
    <w:rsid w:val="00DB549A"/>
    <w:rsid w:val="00DC0A26"/>
    <w:rsid w:val="00DC2E8B"/>
    <w:rsid w:val="00DC3840"/>
    <w:rsid w:val="00DC38EA"/>
    <w:rsid w:val="00DC42B1"/>
    <w:rsid w:val="00DC5567"/>
    <w:rsid w:val="00DD1ED0"/>
    <w:rsid w:val="00DD668B"/>
    <w:rsid w:val="00DD7ADE"/>
    <w:rsid w:val="00DE7915"/>
    <w:rsid w:val="00DF350A"/>
    <w:rsid w:val="00DF4638"/>
    <w:rsid w:val="00DF5BE3"/>
    <w:rsid w:val="00DF7814"/>
    <w:rsid w:val="00E008C4"/>
    <w:rsid w:val="00E031B9"/>
    <w:rsid w:val="00E04094"/>
    <w:rsid w:val="00E04F17"/>
    <w:rsid w:val="00E107A8"/>
    <w:rsid w:val="00E13A0A"/>
    <w:rsid w:val="00E14B48"/>
    <w:rsid w:val="00E159FC"/>
    <w:rsid w:val="00E21E5F"/>
    <w:rsid w:val="00E22E05"/>
    <w:rsid w:val="00E25032"/>
    <w:rsid w:val="00E263CF"/>
    <w:rsid w:val="00E26D90"/>
    <w:rsid w:val="00E31D9A"/>
    <w:rsid w:val="00E33125"/>
    <w:rsid w:val="00E37619"/>
    <w:rsid w:val="00E40AA8"/>
    <w:rsid w:val="00E42220"/>
    <w:rsid w:val="00E43390"/>
    <w:rsid w:val="00E43792"/>
    <w:rsid w:val="00E44C35"/>
    <w:rsid w:val="00E4537E"/>
    <w:rsid w:val="00E47AB8"/>
    <w:rsid w:val="00E53884"/>
    <w:rsid w:val="00E53CFD"/>
    <w:rsid w:val="00E57428"/>
    <w:rsid w:val="00E6128C"/>
    <w:rsid w:val="00E641CD"/>
    <w:rsid w:val="00E65892"/>
    <w:rsid w:val="00E659A4"/>
    <w:rsid w:val="00E66584"/>
    <w:rsid w:val="00E6659D"/>
    <w:rsid w:val="00E677AE"/>
    <w:rsid w:val="00E7266E"/>
    <w:rsid w:val="00E728EC"/>
    <w:rsid w:val="00E72EE7"/>
    <w:rsid w:val="00E73697"/>
    <w:rsid w:val="00E74622"/>
    <w:rsid w:val="00E74DE2"/>
    <w:rsid w:val="00E75B46"/>
    <w:rsid w:val="00E80089"/>
    <w:rsid w:val="00E801BC"/>
    <w:rsid w:val="00E87249"/>
    <w:rsid w:val="00E90E96"/>
    <w:rsid w:val="00E922CE"/>
    <w:rsid w:val="00E95E34"/>
    <w:rsid w:val="00EA0A01"/>
    <w:rsid w:val="00EA1B46"/>
    <w:rsid w:val="00EA4A57"/>
    <w:rsid w:val="00EA7A11"/>
    <w:rsid w:val="00EA7DBE"/>
    <w:rsid w:val="00EB1740"/>
    <w:rsid w:val="00EB5573"/>
    <w:rsid w:val="00EB70F0"/>
    <w:rsid w:val="00EB7DA8"/>
    <w:rsid w:val="00EC0DEE"/>
    <w:rsid w:val="00EC2151"/>
    <w:rsid w:val="00EC3756"/>
    <w:rsid w:val="00EC4D67"/>
    <w:rsid w:val="00EC7ADC"/>
    <w:rsid w:val="00ED0FE3"/>
    <w:rsid w:val="00ED1449"/>
    <w:rsid w:val="00ED1629"/>
    <w:rsid w:val="00ED2C6B"/>
    <w:rsid w:val="00EE0A49"/>
    <w:rsid w:val="00EE133F"/>
    <w:rsid w:val="00EE2FE1"/>
    <w:rsid w:val="00EE7D4F"/>
    <w:rsid w:val="00EF2720"/>
    <w:rsid w:val="00EF2753"/>
    <w:rsid w:val="00EF2A51"/>
    <w:rsid w:val="00EF2DE6"/>
    <w:rsid w:val="00EF7851"/>
    <w:rsid w:val="00EF7929"/>
    <w:rsid w:val="00F011E5"/>
    <w:rsid w:val="00F03A91"/>
    <w:rsid w:val="00F03D0C"/>
    <w:rsid w:val="00F0735D"/>
    <w:rsid w:val="00F14427"/>
    <w:rsid w:val="00F1484E"/>
    <w:rsid w:val="00F17043"/>
    <w:rsid w:val="00F179A5"/>
    <w:rsid w:val="00F23696"/>
    <w:rsid w:val="00F23A05"/>
    <w:rsid w:val="00F243FD"/>
    <w:rsid w:val="00F24D9C"/>
    <w:rsid w:val="00F24E26"/>
    <w:rsid w:val="00F3013B"/>
    <w:rsid w:val="00F32916"/>
    <w:rsid w:val="00F33B23"/>
    <w:rsid w:val="00F363D5"/>
    <w:rsid w:val="00F4113D"/>
    <w:rsid w:val="00F4566A"/>
    <w:rsid w:val="00F46B19"/>
    <w:rsid w:val="00F47828"/>
    <w:rsid w:val="00F50AB3"/>
    <w:rsid w:val="00F52488"/>
    <w:rsid w:val="00F53F06"/>
    <w:rsid w:val="00F60330"/>
    <w:rsid w:val="00F63E27"/>
    <w:rsid w:val="00F65131"/>
    <w:rsid w:val="00F65F4E"/>
    <w:rsid w:val="00F6673C"/>
    <w:rsid w:val="00F67AC2"/>
    <w:rsid w:val="00F71033"/>
    <w:rsid w:val="00F713D8"/>
    <w:rsid w:val="00F71B8A"/>
    <w:rsid w:val="00F739FE"/>
    <w:rsid w:val="00F74A2F"/>
    <w:rsid w:val="00F8474A"/>
    <w:rsid w:val="00F87C19"/>
    <w:rsid w:val="00F939F5"/>
    <w:rsid w:val="00F9405E"/>
    <w:rsid w:val="00F969E9"/>
    <w:rsid w:val="00F97D0D"/>
    <w:rsid w:val="00FA0CF5"/>
    <w:rsid w:val="00FA0FDF"/>
    <w:rsid w:val="00FA1B49"/>
    <w:rsid w:val="00FA43A2"/>
    <w:rsid w:val="00FA4EE4"/>
    <w:rsid w:val="00FA5090"/>
    <w:rsid w:val="00FA727D"/>
    <w:rsid w:val="00FB1585"/>
    <w:rsid w:val="00FB15FA"/>
    <w:rsid w:val="00FB29F2"/>
    <w:rsid w:val="00FB3EFC"/>
    <w:rsid w:val="00FB4952"/>
    <w:rsid w:val="00FB499C"/>
    <w:rsid w:val="00FB5657"/>
    <w:rsid w:val="00FB7C86"/>
    <w:rsid w:val="00FC526B"/>
    <w:rsid w:val="00FC5910"/>
    <w:rsid w:val="00FD1A95"/>
    <w:rsid w:val="00FE1EB8"/>
    <w:rsid w:val="00FE3856"/>
    <w:rsid w:val="00FE589C"/>
    <w:rsid w:val="00FE650C"/>
    <w:rsid w:val="00F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6"/>
    <o:shapelayout v:ext="edit">
      <o:idmap v:ext="edit" data="1"/>
    </o:shapelayout>
  </w:shapeDefaults>
  <w:decimalSymbol w:val="."/>
  <w:listSeparator w:val=","/>
  <w14:docId w14:val="30F631A1"/>
  <w15:docId w15:val="{C93CC255-AF00-4E35-AB1E-8FF3149C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39"/>
  </w:style>
  <w:style w:type="paragraph" w:styleId="Heading1">
    <w:name w:val="heading 1"/>
    <w:basedOn w:val="Normal"/>
    <w:next w:val="Normal"/>
    <w:link w:val="Heading1Char"/>
    <w:uiPriority w:val="9"/>
    <w:qFormat/>
    <w:rsid w:val="00CE3A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740C"/>
    <w:pPr>
      <w:keepNext/>
      <w:keepLines/>
      <w:spacing w:before="40" w:after="0"/>
      <w:ind w:firstLine="426"/>
      <w:outlineLvl w:val="1"/>
    </w:pPr>
    <w:rPr>
      <w:rFonts w:ascii="Arial" w:eastAsiaTheme="majorEastAsia" w:hAnsi="Arial" w:cs="Arial"/>
      <w:sz w:val="28"/>
      <w:szCs w:val="28"/>
    </w:rPr>
  </w:style>
  <w:style w:type="paragraph" w:styleId="Heading3">
    <w:name w:val="heading 3"/>
    <w:basedOn w:val="Normal"/>
    <w:next w:val="Normal"/>
    <w:link w:val="Heading3Char"/>
    <w:uiPriority w:val="9"/>
    <w:semiHidden/>
    <w:unhideWhenUsed/>
    <w:qFormat/>
    <w:rsid w:val="00CE3A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3A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3A3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3A3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3A3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3A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A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45"/>
    <w:pPr>
      <w:ind w:left="720"/>
      <w:contextualSpacing/>
    </w:pPr>
  </w:style>
  <w:style w:type="paragraph" w:customStyle="1" w:styleId="Default">
    <w:name w:val="Default"/>
    <w:rsid w:val="00E44C35"/>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Report Table"/>
    <w:basedOn w:val="TableNormal"/>
    <w:uiPriority w:val="39"/>
    <w:rsid w:val="00B6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1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rsid w:val="00792C6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AC0D01"/>
    <w:pPr>
      <w:widowControl w:val="0"/>
      <w:autoSpaceDE w:val="0"/>
      <w:autoSpaceDN w:val="0"/>
      <w:adjustRightInd w:val="0"/>
      <w:spacing w:after="0" w:line="240" w:lineRule="auto"/>
      <w:ind w:left="1010" w:hanging="511"/>
    </w:pPr>
    <w:rPr>
      <w:rFonts w:ascii="Arial" w:eastAsiaTheme="minorEastAsia" w:hAnsi="Arial" w:cs="Arial"/>
      <w:lang w:eastAsia="en-GB"/>
    </w:rPr>
  </w:style>
  <w:style w:type="character" w:customStyle="1" w:styleId="BodyTextChar">
    <w:name w:val="Body Text Char"/>
    <w:basedOn w:val="DefaultParagraphFont"/>
    <w:link w:val="BodyText"/>
    <w:uiPriority w:val="1"/>
    <w:rsid w:val="00AC0D01"/>
    <w:rPr>
      <w:rFonts w:ascii="Arial" w:eastAsiaTheme="minorEastAsia" w:hAnsi="Arial" w:cs="Arial"/>
      <w:lang w:eastAsia="en-GB"/>
    </w:rPr>
  </w:style>
  <w:style w:type="character" w:styleId="CommentReference">
    <w:name w:val="annotation reference"/>
    <w:basedOn w:val="DefaultParagraphFont"/>
    <w:uiPriority w:val="99"/>
    <w:semiHidden/>
    <w:unhideWhenUsed/>
    <w:rsid w:val="00AC0D01"/>
    <w:rPr>
      <w:sz w:val="16"/>
      <w:szCs w:val="16"/>
    </w:rPr>
  </w:style>
  <w:style w:type="paragraph" w:styleId="CommentText">
    <w:name w:val="annotation text"/>
    <w:basedOn w:val="Normal"/>
    <w:link w:val="CommentTextChar"/>
    <w:uiPriority w:val="99"/>
    <w:semiHidden/>
    <w:unhideWhenUsed/>
    <w:rsid w:val="00AC0D01"/>
    <w:pPr>
      <w:spacing w:line="240" w:lineRule="auto"/>
    </w:pPr>
    <w:rPr>
      <w:sz w:val="20"/>
      <w:szCs w:val="20"/>
    </w:rPr>
  </w:style>
  <w:style w:type="character" w:customStyle="1" w:styleId="CommentTextChar">
    <w:name w:val="Comment Text Char"/>
    <w:basedOn w:val="DefaultParagraphFont"/>
    <w:link w:val="CommentText"/>
    <w:uiPriority w:val="99"/>
    <w:semiHidden/>
    <w:rsid w:val="00AC0D01"/>
    <w:rPr>
      <w:sz w:val="20"/>
      <w:szCs w:val="20"/>
    </w:rPr>
  </w:style>
  <w:style w:type="paragraph" w:styleId="BalloonText">
    <w:name w:val="Balloon Text"/>
    <w:basedOn w:val="Normal"/>
    <w:link w:val="BalloonTextChar"/>
    <w:uiPriority w:val="99"/>
    <w:semiHidden/>
    <w:unhideWhenUsed/>
    <w:rsid w:val="00AC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01"/>
    <w:rPr>
      <w:rFonts w:ascii="Segoe UI" w:hAnsi="Segoe UI" w:cs="Segoe UI"/>
      <w:sz w:val="18"/>
      <w:szCs w:val="18"/>
    </w:rPr>
  </w:style>
  <w:style w:type="character" w:styleId="Strong">
    <w:name w:val="Strong"/>
    <w:basedOn w:val="DefaultParagraphFont"/>
    <w:uiPriority w:val="22"/>
    <w:qFormat/>
    <w:rsid w:val="00CE3A39"/>
    <w:rPr>
      <w:b/>
      <w:bCs/>
    </w:rPr>
  </w:style>
  <w:style w:type="paragraph" w:styleId="CommentSubject">
    <w:name w:val="annotation subject"/>
    <w:basedOn w:val="CommentText"/>
    <w:next w:val="CommentText"/>
    <w:link w:val="CommentSubjectChar"/>
    <w:uiPriority w:val="99"/>
    <w:semiHidden/>
    <w:unhideWhenUsed/>
    <w:rsid w:val="00CD30C1"/>
    <w:pPr>
      <w:spacing w:after="200"/>
    </w:pPr>
    <w:rPr>
      <w:b/>
      <w:bCs/>
    </w:rPr>
  </w:style>
  <w:style w:type="character" w:customStyle="1" w:styleId="CommentSubjectChar">
    <w:name w:val="Comment Subject Char"/>
    <w:basedOn w:val="CommentTextChar"/>
    <w:link w:val="CommentSubject"/>
    <w:uiPriority w:val="99"/>
    <w:semiHidden/>
    <w:rsid w:val="00CD30C1"/>
    <w:rPr>
      <w:b/>
      <w:bCs/>
      <w:sz w:val="20"/>
      <w:szCs w:val="20"/>
    </w:rPr>
  </w:style>
  <w:style w:type="paragraph" w:styleId="FootnoteText">
    <w:name w:val="footnote text"/>
    <w:basedOn w:val="Normal"/>
    <w:link w:val="FootnoteTextChar"/>
    <w:uiPriority w:val="99"/>
    <w:unhideWhenUsed/>
    <w:rsid w:val="00B67EAA"/>
    <w:pPr>
      <w:spacing w:after="0" w:line="240" w:lineRule="auto"/>
    </w:pPr>
    <w:rPr>
      <w:sz w:val="20"/>
      <w:szCs w:val="20"/>
    </w:rPr>
  </w:style>
  <w:style w:type="character" w:customStyle="1" w:styleId="FootnoteTextChar">
    <w:name w:val="Footnote Text Char"/>
    <w:basedOn w:val="DefaultParagraphFont"/>
    <w:link w:val="FootnoteText"/>
    <w:uiPriority w:val="99"/>
    <w:rsid w:val="00B67EAA"/>
    <w:rPr>
      <w:sz w:val="20"/>
      <w:szCs w:val="20"/>
    </w:rPr>
  </w:style>
  <w:style w:type="character" w:styleId="FootnoteReference">
    <w:name w:val="footnote reference"/>
    <w:basedOn w:val="DefaultParagraphFont"/>
    <w:uiPriority w:val="99"/>
    <w:unhideWhenUsed/>
    <w:rsid w:val="00B67EAA"/>
    <w:rPr>
      <w:vertAlign w:val="superscript"/>
    </w:rPr>
  </w:style>
  <w:style w:type="paragraph" w:styleId="NoSpacing">
    <w:name w:val="No Spacing"/>
    <w:uiPriority w:val="1"/>
    <w:qFormat/>
    <w:rsid w:val="00CE3A39"/>
    <w:pPr>
      <w:spacing w:after="0" w:line="240" w:lineRule="auto"/>
    </w:pPr>
  </w:style>
  <w:style w:type="character" w:customStyle="1" w:styleId="highlight">
    <w:name w:val="highlight"/>
    <w:basedOn w:val="DefaultParagraphFont"/>
    <w:rsid w:val="002B781B"/>
  </w:style>
  <w:style w:type="table" w:styleId="GridTable1Light">
    <w:name w:val="Grid Table 1 Light"/>
    <w:basedOn w:val="TableNormal"/>
    <w:uiPriority w:val="46"/>
    <w:rsid w:val="00D8640C"/>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6338E"/>
    <w:rPr>
      <w:color w:val="0000FF" w:themeColor="hyperlink"/>
      <w:u w:val="single"/>
    </w:rPr>
  </w:style>
  <w:style w:type="paragraph" w:customStyle="1" w:styleId="Question">
    <w:name w:val="Question"/>
    <w:basedOn w:val="Normal"/>
    <w:qFormat/>
    <w:rsid w:val="00AC1AE3"/>
    <w:pPr>
      <w:numPr>
        <w:numId w:val="13"/>
      </w:num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autoSpaceDE w:val="0"/>
      <w:autoSpaceDN w:val="0"/>
      <w:adjustRightInd w:val="0"/>
      <w:spacing w:after="0"/>
    </w:pPr>
    <w:rPr>
      <w:rFonts w:ascii="Segoe UI" w:hAnsi="Segoe UI" w:cs="Segoe UI"/>
      <w:sz w:val="24"/>
      <w:szCs w:val="24"/>
    </w:rPr>
  </w:style>
  <w:style w:type="character" w:customStyle="1" w:styleId="Heading1Char">
    <w:name w:val="Heading 1 Char"/>
    <w:basedOn w:val="DefaultParagraphFont"/>
    <w:link w:val="Heading1"/>
    <w:uiPriority w:val="9"/>
    <w:rsid w:val="00CE3A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740C"/>
    <w:rPr>
      <w:rFonts w:ascii="Arial" w:eastAsiaTheme="majorEastAsia" w:hAnsi="Arial" w:cs="Arial"/>
      <w:sz w:val="28"/>
      <w:szCs w:val="28"/>
    </w:rPr>
  </w:style>
  <w:style w:type="paragraph" w:styleId="Header">
    <w:name w:val="header"/>
    <w:basedOn w:val="Normal"/>
    <w:link w:val="HeaderChar"/>
    <w:uiPriority w:val="99"/>
    <w:unhideWhenUsed/>
    <w:rsid w:val="00361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AD"/>
  </w:style>
  <w:style w:type="paragraph" w:styleId="Footer">
    <w:name w:val="footer"/>
    <w:basedOn w:val="Normal"/>
    <w:link w:val="FooterChar"/>
    <w:uiPriority w:val="99"/>
    <w:unhideWhenUsed/>
    <w:rsid w:val="00361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AD"/>
  </w:style>
  <w:style w:type="character" w:customStyle="1" w:styleId="Heading3Char">
    <w:name w:val="Heading 3 Char"/>
    <w:basedOn w:val="DefaultParagraphFont"/>
    <w:link w:val="Heading3"/>
    <w:uiPriority w:val="9"/>
    <w:semiHidden/>
    <w:rsid w:val="00CE3A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3A3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E3A3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E3A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3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3A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A3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3A39"/>
    <w:pPr>
      <w:spacing w:after="200" w:line="240" w:lineRule="auto"/>
    </w:pPr>
    <w:rPr>
      <w:i/>
      <w:iCs/>
      <w:color w:val="1F497D" w:themeColor="text2"/>
      <w:sz w:val="18"/>
      <w:szCs w:val="18"/>
    </w:rPr>
  </w:style>
  <w:style w:type="paragraph" w:styleId="Title">
    <w:name w:val="Title"/>
    <w:basedOn w:val="TOCHeading"/>
    <w:next w:val="Normal"/>
    <w:link w:val="TitleChar"/>
    <w:uiPriority w:val="10"/>
    <w:qFormat/>
    <w:rsid w:val="00251C77"/>
    <w:rPr>
      <w:color w:val="auto"/>
    </w:rPr>
  </w:style>
  <w:style w:type="character" w:customStyle="1" w:styleId="TitleChar">
    <w:name w:val="Title Char"/>
    <w:basedOn w:val="DefaultParagraphFont"/>
    <w:link w:val="Title"/>
    <w:uiPriority w:val="10"/>
    <w:rsid w:val="00251C77"/>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CE3A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A39"/>
    <w:rPr>
      <w:rFonts w:eastAsiaTheme="minorEastAsia"/>
      <w:color w:val="5A5A5A" w:themeColor="text1" w:themeTint="A5"/>
      <w:spacing w:val="15"/>
    </w:rPr>
  </w:style>
  <w:style w:type="character" w:styleId="Emphasis">
    <w:name w:val="Emphasis"/>
    <w:basedOn w:val="DefaultParagraphFont"/>
    <w:uiPriority w:val="20"/>
    <w:qFormat/>
    <w:rsid w:val="00CE3A39"/>
    <w:rPr>
      <w:i/>
      <w:iCs/>
    </w:rPr>
  </w:style>
  <w:style w:type="paragraph" w:styleId="Quote">
    <w:name w:val="Quote"/>
    <w:basedOn w:val="Normal"/>
    <w:next w:val="Normal"/>
    <w:link w:val="QuoteChar"/>
    <w:uiPriority w:val="29"/>
    <w:qFormat/>
    <w:rsid w:val="00CE3A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3A39"/>
    <w:rPr>
      <w:i/>
      <w:iCs/>
      <w:color w:val="404040" w:themeColor="text1" w:themeTint="BF"/>
    </w:rPr>
  </w:style>
  <w:style w:type="paragraph" w:styleId="IntenseQuote">
    <w:name w:val="Intense Quote"/>
    <w:basedOn w:val="Normal"/>
    <w:next w:val="Normal"/>
    <w:link w:val="IntenseQuoteChar"/>
    <w:uiPriority w:val="30"/>
    <w:qFormat/>
    <w:rsid w:val="00CE3A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3A39"/>
    <w:rPr>
      <w:i/>
      <w:iCs/>
      <w:color w:val="4F81BD" w:themeColor="accent1"/>
    </w:rPr>
  </w:style>
  <w:style w:type="character" w:styleId="SubtleEmphasis">
    <w:name w:val="Subtle Emphasis"/>
    <w:basedOn w:val="DefaultParagraphFont"/>
    <w:uiPriority w:val="19"/>
    <w:qFormat/>
    <w:rsid w:val="00CE3A39"/>
    <w:rPr>
      <w:i/>
      <w:iCs/>
      <w:color w:val="404040" w:themeColor="text1" w:themeTint="BF"/>
    </w:rPr>
  </w:style>
  <w:style w:type="character" w:styleId="IntenseEmphasis">
    <w:name w:val="Intense Emphasis"/>
    <w:basedOn w:val="DefaultParagraphFont"/>
    <w:uiPriority w:val="21"/>
    <w:qFormat/>
    <w:rsid w:val="00CE3A39"/>
    <w:rPr>
      <w:i/>
      <w:iCs/>
      <w:color w:val="4F81BD" w:themeColor="accent1"/>
    </w:rPr>
  </w:style>
  <w:style w:type="character" w:styleId="SubtleReference">
    <w:name w:val="Subtle Reference"/>
    <w:basedOn w:val="DefaultParagraphFont"/>
    <w:uiPriority w:val="31"/>
    <w:qFormat/>
    <w:rsid w:val="00CE3A39"/>
    <w:rPr>
      <w:smallCaps/>
      <w:color w:val="5A5A5A" w:themeColor="text1" w:themeTint="A5"/>
    </w:rPr>
  </w:style>
  <w:style w:type="character" w:styleId="IntenseReference">
    <w:name w:val="Intense Reference"/>
    <w:basedOn w:val="DefaultParagraphFont"/>
    <w:uiPriority w:val="32"/>
    <w:qFormat/>
    <w:rsid w:val="00CE3A39"/>
    <w:rPr>
      <w:b/>
      <w:bCs/>
      <w:smallCaps/>
      <w:color w:val="4F81BD" w:themeColor="accent1"/>
      <w:spacing w:val="5"/>
    </w:rPr>
  </w:style>
  <w:style w:type="character" w:styleId="BookTitle">
    <w:name w:val="Book Title"/>
    <w:basedOn w:val="DefaultParagraphFont"/>
    <w:uiPriority w:val="33"/>
    <w:qFormat/>
    <w:rsid w:val="00CE3A39"/>
    <w:rPr>
      <w:b/>
      <w:bCs/>
      <w:i/>
      <w:iCs/>
      <w:spacing w:val="5"/>
    </w:rPr>
  </w:style>
  <w:style w:type="paragraph" w:styleId="TOCHeading">
    <w:name w:val="TOC Heading"/>
    <w:basedOn w:val="Heading1"/>
    <w:next w:val="Normal"/>
    <w:uiPriority w:val="39"/>
    <w:unhideWhenUsed/>
    <w:qFormat/>
    <w:rsid w:val="00CE3A39"/>
    <w:pPr>
      <w:outlineLvl w:val="9"/>
    </w:pPr>
  </w:style>
  <w:style w:type="paragraph" w:styleId="TOC1">
    <w:name w:val="toc 1"/>
    <w:basedOn w:val="Normal"/>
    <w:next w:val="Normal"/>
    <w:autoRedefine/>
    <w:uiPriority w:val="39"/>
    <w:unhideWhenUsed/>
    <w:rsid w:val="00045D25"/>
    <w:pPr>
      <w:spacing w:after="100"/>
    </w:pPr>
  </w:style>
  <w:style w:type="paragraph" w:styleId="TOC2">
    <w:name w:val="toc 2"/>
    <w:basedOn w:val="Normal"/>
    <w:next w:val="Normal"/>
    <w:autoRedefine/>
    <w:uiPriority w:val="39"/>
    <w:unhideWhenUsed/>
    <w:rsid w:val="00045D25"/>
    <w:pPr>
      <w:spacing w:after="100"/>
      <w:ind w:left="220"/>
    </w:pPr>
  </w:style>
  <w:style w:type="paragraph" w:styleId="BodyTextIndent">
    <w:name w:val="Body Text Indent"/>
    <w:basedOn w:val="Normal"/>
    <w:link w:val="BodyTextIndentChar"/>
    <w:uiPriority w:val="99"/>
    <w:semiHidden/>
    <w:unhideWhenUsed/>
    <w:rsid w:val="00125D0C"/>
    <w:pPr>
      <w:spacing w:after="120"/>
      <w:ind w:left="283"/>
    </w:pPr>
  </w:style>
  <w:style w:type="character" w:customStyle="1" w:styleId="BodyTextIndentChar">
    <w:name w:val="Body Text Indent Char"/>
    <w:basedOn w:val="DefaultParagraphFont"/>
    <w:link w:val="BodyTextIndent"/>
    <w:uiPriority w:val="99"/>
    <w:semiHidden/>
    <w:rsid w:val="00125D0C"/>
  </w:style>
  <w:style w:type="paragraph" w:styleId="PlainText">
    <w:name w:val="Plain Text"/>
    <w:basedOn w:val="Normal"/>
    <w:link w:val="PlainTextChar"/>
    <w:uiPriority w:val="99"/>
    <w:unhideWhenUsed/>
    <w:rsid w:val="00125D0C"/>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125D0C"/>
    <w:rPr>
      <w:rFonts w:ascii="Consolas" w:hAnsi="Consolas" w:cs="Arial"/>
      <w:sz w:val="21"/>
      <w:szCs w:val="21"/>
    </w:rPr>
  </w:style>
  <w:style w:type="character" w:customStyle="1" w:styleId="UnresolvedMention1">
    <w:name w:val="Unresolved Mention1"/>
    <w:basedOn w:val="DefaultParagraphFont"/>
    <w:uiPriority w:val="99"/>
    <w:semiHidden/>
    <w:unhideWhenUsed/>
    <w:rsid w:val="00766E83"/>
    <w:rPr>
      <w:color w:val="605E5C"/>
      <w:shd w:val="clear" w:color="auto" w:fill="E1DFDD"/>
    </w:rPr>
  </w:style>
  <w:style w:type="character" w:customStyle="1" w:styleId="st">
    <w:name w:val="st"/>
    <w:basedOn w:val="DefaultParagraphFont"/>
    <w:rsid w:val="0040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593">
      <w:bodyDiv w:val="1"/>
      <w:marLeft w:val="0"/>
      <w:marRight w:val="0"/>
      <w:marTop w:val="0"/>
      <w:marBottom w:val="0"/>
      <w:divBdr>
        <w:top w:val="none" w:sz="0" w:space="0" w:color="auto"/>
        <w:left w:val="none" w:sz="0" w:space="0" w:color="auto"/>
        <w:bottom w:val="none" w:sz="0" w:space="0" w:color="auto"/>
        <w:right w:val="none" w:sz="0" w:space="0" w:color="auto"/>
      </w:divBdr>
      <w:divsChild>
        <w:div w:id="933904295">
          <w:marLeft w:val="547"/>
          <w:marRight w:val="0"/>
          <w:marTop w:val="154"/>
          <w:marBottom w:val="0"/>
          <w:divBdr>
            <w:top w:val="none" w:sz="0" w:space="0" w:color="auto"/>
            <w:left w:val="none" w:sz="0" w:space="0" w:color="auto"/>
            <w:bottom w:val="none" w:sz="0" w:space="0" w:color="auto"/>
            <w:right w:val="none" w:sz="0" w:space="0" w:color="auto"/>
          </w:divBdr>
        </w:div>
        <w:div w:id="1973711295">
          <w:marLeft w:val="547"/>
          <w:marRight w:val="0"/>
          <w:marTop w:val="154"/>
          <w:marBottom w:val="0"/>
          <w:divBdr>
            <w:top w:val="none" w:sz="0" w:space="0" w:color="auto"/>
            <w:left w:val="none" w:sz="0" w:space="0" w:color="auto"/>
            <w:bottom w:val="none" w:sz="0" w:space="0" w:color="auto"/>
            <w:right w:val="none" w:sz="0" w:space="0" w:color="auto"/>
          </w:divBdr>
        </w:div>
        <w:div w:id="1581208558">
          <w:marLeft w:val="547"/>
          <w:marRight w:val="0"/>
          <w:marTop w:val="154"/>
          <w:marBottom w:val="0"/>
          <w:divBdr>
            <w:top w:val="none" w:sz="0" w:space="0" w:color="auto"/>
            <w:left w:val="none" w:sz="0" w:space="0" w:color="auto"/>
            <w:bottom w:val="none" w:sz="0" w:space="0" w:color="auto"/>
            <w:right w:val="none" w:sz="0" w:space="0" w:color="auto"/>
          </w:divBdr>
        </w:div>
        <w:div w:id="1613321579">
          <w:marLeft w:val="547"/>
          <w:marRight w:val="0"/>
          <w:marTop w:val="154"/>
          <w:marBottom w:val="0"/>
          <w:divBdr>
            <w:top w:val="none" w:sz="0" w:space="0" w:color="auto"/>
            <w:left w:val="none" w:sz="0" w:space="0" w:color="auto"/>
            <w:bottom w:val="none" w:sz="0" w:space="0" w:color="auto"/>
            <w:right w:val="none" w:sz="0" w:space="0" w:color="auto"/>
          </w:divBdr>
        </w:div>
        <w:div w:id="538903183">
          <w:marLeft w:val="547"/>
          <w:marRight w:val="0"/>
          <w:marTop w:val="154"/>
          <w:marBottom w:val="0"/>
          <w:divBdr>
            <w:top w:val="none" w:sz="0" w:space="0" w:color="auto"/>
            <w:left w:val="none" w:sz="0" w:space="0" w:color="auto"/>
            <w:bottom w:val="none" w:sz="0" w:space="0" w:color="auto"/>
            <w:right w:val="none" w:sz="0" w:space="0" w:color="auto"/>
          </w:divBdr>
        </w:div>
        <w:div w:id="758333588">
          <w:marLeft w:val="547"/>
          <w:marRight w:val="0"/>
          <w:marTop w:val="154"/>
          <w:marBottom w:val="0"/>
          <w:divBdr>
            <w:top w:val="none" w:sz="0" w:space="0" w:color="auto"/>
            <w:left w:val="none" w:sz="0" w:space="0" w:color="auto"/>
            <w:bottom w:val="none" w:sz="0" w:space="0" w:color="auto"/>
            <w:right w:val="none" w:sz="0" w:space="0" w:color="auto"/>
          </w:divBdr>
        </w:div>
      </w:divsChild>
    </w:div>
    <w:div w:id="366368398">
      <w:bodyDiv w:val="1"/>
      <w:marLeft w:val="0"/>
      <w:marRight w:val="0"/>
      <w:marTop w:val="0"/>
      <w:marBottom w:val="0"/>
      <w:divBdr>
        <w:top w:val="none" w:sz="0" w:space="0" w:color="auto"/>
        <w:left w:val="none" w:sz="0" w:space="0" w:color="auto"/>
        <w:bottom w:val="none" w:sz="0" w:space="0" w:color="auto"/>
        <w:right w:val="none" w:sz="0" w:space="0" w:color="auto"/>
      </w:divBdr>
    </w:div>
    <w:div w:id="458379820">
      <w:bodyDiv w:val="1"/>
      <w:marLeft w:val="0"/>
      <w:marRight w:val="0"/>
      <w:marTop w:val="0"/>
      <w:marBottom w:val="0"/>
      <w:divBdr>
        <w:top w:val="none" w:sz="0" w:space="0" w:color="auto"/>
        <w:left w:val="none" w:sz="0" w:space="0" w:color="auto"/>
        <w:bottom w:val="none" w:sz="0" w:space="0" w:color="auto"/>
        <w:right w:val="none" w:sz="0" w:space="0" w:color="auto"/>
      </w:divBdr>
      <w:divsChild>
        <w:div w:id="1180968912">
          <w:marLeft w:val="547"/>
          <w:marRight w:val="0"/>
          <w:marTop w:val="154"/>
          <w:marBottom w:val="0"/>
          <w:divBdr>
            <w:top w:val="none" w:sz="0" w:space="0" w:color="auto"/>
            <w:left w:val="none" w:sz="0" w:space="0" w:color="auto"/>
            <w:bottom w:val="none" w:sz="0" w:space="0" w:color="auto"/>
            <w:right w:val="none" w:sz="0" w:space="0" w:color="auto"/>
          </w:divBdr>
        </w:div>
        <w:div w:id="922102132">
          <w:marLeft w:val="547"/>
          <w:marRight w:val="0"/>
          <w:marTop w:val="154"/>
          <w:marBottom w:val="0"/>
          <w:divBdr>
            <w:top w:val="none" w:sz="0" w:space="0" w:color="auto"/>
            <w:left w:val="none" w:sz="0" w:space="0" w:color="auto"/>
            <w:bottom w:val="none" w:sz="0" w:space="0" w:color="auto"/>
            <w:right w:val="none" w:sz="0" w:space="0" w:color="auto"/>
          </w:divBdr>
        </w:div>
        <w:div w:id="1642149302">
          <w:marLeft w:val="547"/>
          <w:marRight w:val="0"/>
          <w:marTop w:val="154"/>
          <w:marBottom w:val="0"/>
          <w:divBdr>
            <w:top w:val="none" w:sz="0" w:space="0" w:color="auto"/>
            <w:left w:val="none" w:sz="0" w:space="0" w:color="auto"/>
            <w:bottom w:val="none" w:sz="0" w:space="0" w:color="auto"/>
            <w:right w:val="none" w:sz="0" w:space="0" w:color="auto"/>
          </w:divBdr>
        </w:div>
        <w:div w:id="521170399">
          <w:marLeft w:val="547"/>
          <w:marRight w:val="0"/>
          <w:marTop w:val="154"/>
          <w:marBottom w:val="0"/>
          <w:divBdr>
            <w:top w:val="none" w:sz="0" w:space="0" w:color="auto"/>
            <w:left w:val="none" w:sz="0" w:space="0" w:color="auto"/>
            <w:bottom w:val="none" w:sz="0" w:space="0" w:color="auto"/>
            <w:right w:val="none" w:sz="0" w:space="0" w:color="auto"/>
          </w:divBdr>
        </w:div>
        <w:div w:id="677737624">
          <w:marLeft w:val="547"/>
          <w:marRight w:val="0"/>
          <w:marTop w:val="154"/>
          <w:marBottom w:val="0"/>
          <w:divBdr>
            <w:top w:val="none" w:sz="0" w:space="0" w:color="auto"/>
            <w:left w:val="none" w:sz="0" w:space="0" w:color="auto"/>
            <w:bottom w:val="none" w:sz="0" w:space="0" w:color="auto"/>
            <w:right w:val="none" w:sz="0" w:space="0" w:color="auto"/>
          </w:divBdr>
        </w:div>
        <w:div w:id="1863283537">
          <w:marLeft w:val="547"/>
          <w:marRight w:val="0"/>
          <w:marTop w:val="154"/>
          <w:marBottom w:val="0"/>
          <w:divBdr>
            <w:top w:val="none" w:sz="0" w:space="0" w:color="auto"/>
            <w:left w:val="none" w:sz="0" w:space="0" w:color="auto"/>
            <w:bottom w:val="none" w:sz="0" w:space="0" w:color="auto"/>
            <w:right w:val="none" w:sz="0" w:space="0" w:color="auto"/>
          </w:divBdr>
        </w:div>
      </w:divsChild>
    </w:div>
    <w:div w:id="459229745">
      <w:bodyDiv w:val="1"/>
      <w:marLeft w:val="0"/>
      <w:marRight w:val="0"/>
      <w:marTop w:val="0"/>
      <w:marBottom w:val="0"/>
      <w:divBdr>
        <w:top w:val="none" w:sz="0" w:space="0" w:color="auto"/>
        <w:left w:val="none" w:sz="0" w:space="0" w:color="auto"/>
        <w:bottom w:val="none" w:sz="0" w:space="0" w:color="auto"/>
        <w:right w:val="none" w:sz="0" w:space="0" w:color="auto"/>
      </w:divBdr>
    </w:div>
    <w:div w:id="541862345">
      <w:bodyDiv w:val="1"/>
      <w:marLeft w:val="0"/>
      <w:marRight w:val="0"/>
      <w:marTop w:val="0"/>
      <w:marBottom w:val="0"/>
      <w:divBdr>
        <w:top w:val="none" w:sz="0" w:space="0" w:color="auto"/>
        <w:left w:val="none" w:sz="0" w:space="0" w:color="auto"/>
        <w:bottom w:val="none" w:sz="0" w:space="0" w:color="auto"/>
        <w:right w:val="none" w:sz="0" w:space="0" w:color="auto"/>
      </w:divBdr>
    </w:div>
    <w:div w:id="545992590">
      <w:bodyDiv w:val="1"/>
      <w:marLeft w:val="0"/>
      <w:marRight w:val="0"/>
      <w:marTop w:val="0"/>
      <w:marBottom w:val="0"/>
      <w:divBdr>
        <w:top w:val="none" w:sz="0" w:space="0" w:color="auto"/>
        <w:left w:val="none" w:sz="0" w:space="0" w:color="auto"/>
        <w:bottom w:val="none" w:sz="0" w:space="0" w:color="auto"/>
        <w:right w:val="none" w:sz="0" w:space="0" w:color="auto"/>
      </w:divBdr>
    </w:div>
    <w:div w:id="550919638">
      <w:bodyDiv w:val="1"/>
      <w:marLeft w:val="0"/>
      <w:marRight w:val="0"/>
      <w:marTop w:val="0"/>
      <w:marBottom w:val="0"/>
      <w:divBdr>
        <w:top w:val="none" w:sz="0" w:space="0" w:color="auto"/>
        <w:left w:val="none" w:sz="0" w:space="0" w:color="auto"/>
        <w:bottom w:val="none" w:sz="0" w:space="0" w:color="auto"/>
        <w:right w:val="none" w:sz="0" w:space="0" w:color="auto"/>
      </w:divBdr>
    </w:div>
    <w:div w:id="724138585">
      <w:bodyDiv w:val="1"/>
      <w:marLeft w:val="0"/>
      <w:marRight w:val="0"/>
      <w:marTop w:val="0"/>
      <w:marBottom w:val="0"/>
      <w:divBdr>
        <w:top w:val="none" w:sz="0" w:space="0" w:color="auto"/>
        <w:left w:val="none" w:sz="0" w:space="0" w:color="auto"/>
        <w:bottom w:val="none" w:sz="0" w:space="0" w:color="auto"/>
        <w:right w:val="none" w:sz="0" w:space="0" w:color="auto"/>
      </w:divBdr>
    </w:div>
    <w:div w:id="863905734">
      <w:bodyDiv w:val="1"/>
      <w:marLeft w:val="0"/>
      <w:marRight w:val="0"/>
      <w:marTop w:val="0"/>
      <w:marBottom w:val="0"/>
      <w:divBdr>
        <w:top w:val="none" w:sz="0" w:space="0" w:color="auto"/>
        <w:left w:val="none" w:sz="0" w:space="0" w:color="auto"/>
        <w:bottom w:val="none" w:sz="0" w:space="0" w:color="auto"/>
        <w:right w:val="none" w:sz="0" w:space="0" w:color="auto"/>
      </w:divBdr>
    </w:div>
    <w:div w:id="927035527">
      <w:bodyDiv w:val="1"/>
      <w:marLeft w:val="0"/>
      <w:marRight w:val="0"/>
      <w:marTop w:val="0"/>
      <w:marBottom w:val="0"/>
      <w:divBdr>
        <w:top w:val="none" w:sz="0" w:space="0" w:color="auto"/>
        <w:left w:val="none" w:sz="0" w:space="0" w:color="auto"/>
        <w:bottom w:val="none" w:sz="0" w:space="0" w:color="auto"/>
        <w:right w:val="none" w:sz="0" w:space="0" w:color="auto"/>
      </w:divBdr>
      <w:divsChild>
        <w:div w:id="610169837">
          <w:marLeft w:val="547"/>
          <w:marRight w:val="0"/>
          <w:marTop w:val="154"/>
          <w:marBottom w:val="0"/>
          <w:divBdr>
            <w:top w:val="none" w:sz="0" w:space="0" w:color="auto"/>
            <w:left w:val="none" w:sz="0" w:space="0" w:color="auto"/>
            <w:bottom w:val="none" w:sz="0" w:space="0" w:color="auto"/>
            <w:right w:val="none" w:sz="0" w:space="0" w:color="auto"/>
          </w:divBdr>
        </w:div>
        <w:div w:id="144132248">
          <w:marLeft w:val="547"/>
          <w:marRight w:val="0"/>
          <w:marTop w:val="154"/>
          <w:marBottom w:val="0"/>
          <w:divBdr>
            <w:top w:val="none" w:sz="0" w:space="0" w:color="auto"/>
            <w:left w:val="none" w:sz="0" w:space="0" w:color="auto"/>
            <w:bottom w:val="none" w:sz="0" w:space="0" w:color="auto"/>
            <w:right w:val="none" w:sz="0" w:space="0" w:color="auto"/>
          </w:divBdr>
        </w:div>
        <w:div w:id="1778518422">
          <w:marLeft w:val="547"/>
          <w:marRight w:val="0"/>
          <w:marTop w:val="154"/>
          <w:marBottom w:val="0"/>
          <w:divBdr>
            <w:top w:val="none" w:sz="0" w:space="0" w:color="auto"/>
            <w:left w:val="none" w:sz="0" w:space="0" w:color="auto"/>
            <w:bottom w:val="none" w:sz="0" w:space="0" w:color="auto"/>
            <w:right w:val="none" w:sz="0" w:space="0" w:color="auto"/>
          </w:divBdr>
        </w:div>
        <w:div w:id="81949697">
          <w:marLeft w:val="547"/>
          <w:marRight w:val="0"/>
          <w:marTop w:val="154"/>
          <w:marBottom w:val="0"/>
          <w:divBdr>
            <w:top w:val="none" w:sz="0" w:space="0" w:color="auto"/>
            <w:left w:val="none" w:sz="0" w:space="0" w:color="auto"/>
            <w:bottom w:val="none" w:sz="0" w:space="0" w:color="auto"/>
            <w:right w:val="none" w:sz="0" w:space="0" w:color="auto"/>
          </w:divBdr>
        </w:div>
        <w:div w:id="2039891626">
          <w:marLeft w:val="547"/>
          <w:marRight w:val="0"/>
          <w:marTop w:val="154"/>
          <w:marBottom w:val="0"/>
          <w:divBdr>
            <w:top w:val="none" w:sz="0" w:space="0" w:color="auto"/>
            <w:left w:val="none" w:sz="0" w:space="0" w:color="auto"/>
            <w:bottom w:val="none" w:sz="0" w:space="0" w:color="auto"/>
            <w:right w:val="none" w:sz="0" w:space="0" w:color="auto"/>
          </w:divBdr>
        </w:div>
        <w:div w:id="1341850906">
          <w:marLeft w:val="547"/>
          <w:marRight w:val="0"/>
          <w:marTop w:val="154"/>
          <w:marBottom w:val="0"/>
          <w:divBdr>
            <w:top w:val="none" w:sz="0" w:space="0" w:color="auto"/>
            <w:left w:val="none" w:sz="0" w:space="0" w:color="auto"/>
            <w:bottom w:val="none" w:sz="0" w:space="0" w:color="auto"/>
            <w:right w:val="none" w:sz="0" w:space="0" w:color="auto"/>
          </w:divBdr>
        </w:div>
      </w:divsChild>
    </w:div>
    <w:div w:id="1009527686">
      <w:bodyDiv w:val="1"/>
      <w:marLeft w:val="0"/>
      <w:marRight w:val="0"/>
      <w:marTop w:val="0"/>
      <w:marBottom w:val="0"/>
      <w:divBdr>
        <w:top w:val="none" w:sz="0" w:space="0" w:color="auto"/>
        <w:left w:val="none" w:sz="0" w:space="0" w:color="auto"/>
        <w:bottom w:val="none" w:sz="0" w:space="0" w:color="auto"/>
        <w:right w:val="none" w:sz="0" w:space="0" w:color="auto"/>
      </w:divBdr>
    </w:div>
    <w:div w:id="1050181355">
      <w:bodyDiv w:val="1"/>
      <w:marLeft w:val="0"/>
      <w:marRight w:val="0"/>
      <w:marTop w:val="0"/>
      <w:marBottom w:val="0"/>
      <w:divBdr>
        <w:top w:val="none" w:sz="0" w:space="0" w:color="auto"/>
        <w:left w:val="none" w:sz="0" w:space="0" w:color="auto"/>
        <w:bottom w:val="none" w:sz="0" w:space="0" w:color="auto"/>
        <w:right w:val="none" w:sz="0" w:space="0" w:color="auto"/>
      </w:divBdr>
    </w:div>
    <w:div w:id="1215893751">
      <w:bodyDiv w:val="1"/>
      <w:marLeft w:val="0"/>
      <w:marRight w:val="0"/>
      <w:marTop w:val="0"/>
      <w:marBottom w:val="0"/>
      <w:divBdr>
        <w:top w:val="none" w:sz="0" w:space="0" w:color="auto"/>
        <w:left w:val="none" w:sz="0" w:space="0" w:color="auto"/>
        <w:bottom w:val="none" w:sz="0" w:space="0" w:color="auto"/>
        <w:right w:val="none" w:sz="0" w:space="0" w:color="auto"/>
      </w:divBdr>
    </w:div>
    <w:div w:id="1401947964">
      <w:bodyDiv w:val="1"/>
      <w:marLeft w:val="0"/>
      <w:marRight w:val="0"/>
      <w:marTop w:val="0"/>
      <w:marBottom w:val="0"/>
      <w:divBdr>
        <w:top w:val="none" w:sz="0" w:space="0" w:color="auto"/>
        <w:left w:val="none" w:sz="0" w:space="0" w:color="auto"/>
        <w:bottom w:val="none" w:sz="0" w:space="0" w:color="auto"/>
        <w:right w:val="none" w:sz="0" w:space="0" w:color="auto"/>
      </w:divBdr>
    </w:div>
    <w:div w:id="1507090979">
      <w:bodyDiv w:val="1"/>
      <w:marLeft w:val="0"/>
      <w:marRight w:val="0"/>
      <w:marTop w:val="0"/>
      <w:marBottom w:val="0"/>
      <w:divBdr>
        <w:top w:val="none" w:sz="0" w:space="0" w:color="auto"/>
        <w:left w:val="none" w:sz="0" w:space="0" w:color="auto"/>
        <w:bottom w:val="none" w:sz="0" w:space="0" w:color="auto"/>
        <w:right w:val="none" w:sz="0" w:space="0" w:color="auto"/>
      </w:divBdr>
    </w:div>
    <w:div w:id="1658344592">
      <w:bodyDiv w:val="1"/>
      <w:marLeft w:val="0"/>
      <w:marRight w:val="0"/>
      <w:marTop w:val="0"/>
      <w:marBottom w:val="0"/>
      <w:divBdr>
        <w:top w:val="none" w:sz="0" w:space="0" w:color="auto"/>
        <w:left w:val="none" w:sz="0" w:space="0" w:color="auto"/>
        <w:bottom w:val="none" w:sz="0" w:space="0" w:color="auto"/>
        <w:right w:val="none" w:sz="0" w:space="0" w:color="auto"/>
      </w:divBdr>
    </w:div>
    <w:div w:id="1659337488">
      <w:bodyDiv w:val="1"/>
      <w:marLeft w:val="0"/>
      <w:marRight w:val="0"/>
      <w:marTop w:val="0"/>
      <w:marBottom w:val="0"/>
      <w:divBdr>
        <w:top w:val="none" w:sz="0" w:space="0" w:color="auto"/>
        <w:left w:val="none" w:sz="0" w:space="0" w:color="auto"/>
        <w:bottom w:val="none" w:sz="0" w:space="0" w:color="auto"/>
        <w:right w:val="none" w:sz="0" w:space="0" w:color="auto"/>
      </w:divBdr>
    </w:div>
    <w:div w:id="1673217174">
      <w:bodyDiv w:val="1"/>
      <w:marLeft w:val="0"/>
      <w:marRight w:val="0"/>
      <w:marTop w:val="0"/>
      <w:marBottom w:val="0"/>
      <w:divBdr>
        <w:top w:val="none" w:sz="0" w:space="0" w:color="auto"/>
        <w:left w:val="none" w:sz="0" w:space="0" w:color="auto"/>
        <w:bottom w:val="none" w:sz="0" w:space="0" w:color="auto"/>
        <w:right w:val="none" w:sz="0" w:space="0" w:color="auto"/>
      </w:divBdr>
    </w:div>
    <w:div w:id="1704860028">
      <w:bodyDiv w:val="1"/>
      <w:marLeft w:val="0"/>
      <w:marRight w:val="0"/>
      <w:marTop w:val="0"/>
      <w:marBottom w:val="0"/>
      <w:divBdr>
        <w:top w:val="none" w:sz="0" w:space="0" w:color="auto"/>
        <w:left w:val="none" w:sz="0" w:space="0" w:color="auto"/>
        <w:bottom w:val="none" w:sz="0" w:space="0" w:color="auto"/>
        <w:right w:val="none" w:sz="0" w:space="0" w:color="auto"/>
      </w:divBdr>
      <w:divsChild>
        <w:div w:id="1529562193">
          <w:marLeft w:val="0"/>
          <w:marRight w:val="0"/>
          <w:marTop w:val="0"/>
          <w:marBottom w:val="0"/>
          <w:divBdr>
            <w:top w:val="none" w:sz="0" w:space="0" w:color="auto"/>
            <w:left w:val="none" w:sz="0" w:space="0" w:color="auto"/>
            <w:bottom w:val="none" w:sz="0" w:space="0" w:color="auto"/>
            <w:right w:val="none" w:sz="0" w:space="0" w:color="auto"/>
          </w:divBdr>
          <w:divsChild>
            <w:div w:id="2034065107">
              <w:marLeft w:val="0"/>
              <w:marRight w:val="0"/>
              <w:marTop w:val="0"/>
              <w:marBottom w:val="0"/>
              <w:divBdr>
                <w:top w:val="none" w:sz="0" w:space="0" w:color="auto"/>
                <w:left w:val="none" w:sz="0" w:space="0" w:color="auto"/>
                <w:bottom w:val="none" w:sz="0" w:space="0" w:color="auto"/>
                <w:right w:val="none" w:sz="0" w:space="0" w:color="auto"/>
              </w:divBdr>
              <w:divsChild>
                <w:div w:id="1343629258">
                  <w:marLeft w:val="0"/>
                  <w:marRight w:val="0"/>
                  <w:marTop w:val="0"/>
                  <w:marBottom w:val="0"/>
                  <w:divBdr>
                    <w:top w:val="none" w:sz="0" w:space="0" w:color="auto"/>
                    <w:left w:val="none" w:sz="0" w:space="0" w:color="auto"/>
                    <w:bottom w:val="none" w:sz="0" w:space="0" w:color="auto"/>
                    <w:right w:val="none" w:sz="0" w:space="0" w:color="auto"/>
                  </w:divBdr>
                  <w:divsChild>
                    <w:div w:id="698893692">
                      <w:marLeft w:val="0"/>
                      <w:marRight w:val="0"/>
                      <w:marTop w:val="0"/>
                      <w:marBottom w:val="0"/>
                      <w:divBdr>
                        <w:top w:val="none" w:sz="0" w:space="0" w:color="auto"/>
                        <w:left w:val="none" w:sz="0" w:space="0" w:color="auto"/>
                        <w:bottom w:val="none" w:sz="0" w:space="0" w:color="auto"/>
                        <w:right w:val="none" w:sz="0" w:space="0" w:color="auto"/>
                      </w:divBdr>
                      <w:divsChild>
                        <w:div w:id="1530415384">
                          <w:marLeft w:val="0"/>
                          <w:marRight w:val="0"/>
                          <w:marTop w:val="0"/>
                          <w:marBottom w:val="0"/>
                          <w:divBdr>
                            <w:top w:val="none" w:sz="0" w:space="0" w:color="auto"/>
                            <w:left w:val="none" w:sz="0" w:space="0" w:color="auto"/>
                            <w:bottom w:val="none" w:sz="0" w:space="0" w:color="auto"/>
                            <w:right w:val="none" w:sz="0" w:space="0" w:color="auto"/>
                          </w:divBdr>
                          <w:divsChild>
                            <w:div w:id="1115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9090">
      <w:bodyDiv w:val="1"/>
      <w:marLeft w:val="0"/>
      <w:marRight w:val="0"/>
      <w:marTop w:val="0"/>
      <w:marBottom w:val="0"/>
      <w:divBdr>
        <w:top w:val="none" w:sz="0" w:space="0" w:color="auto"/>
        <w:left w:val="none" w:sz="0" w:space="0" w:color="auto"/>
        <w:bottom w:val="none" w:sz="0" w:space="0" w:color="auto"/>
        <w:right w:val="none" w:sz="0" w:space="0" w:color="auto"/>
      </w:divBdr>
    </w:div>
    <w:div w:id="2047176813">
      <w:bodyDiv w:val="1"/>
      <w:marLeft w:val="0"/>
      <w:marRight w:val="0"/>
      <w:marTop w:val="0"/>
      <w:marBottom w:val="0"/>
      <w:divBdr>
        <w:top w:val="none" w:sz="0" w:space="0" w:color="auto"/>
        <w:left w:val="none" w:sz="0" w:space="0" w:color="auto"/>
        <w:bottom w:val="none" w:sz="0" w:space="0" w:color="auto"/>
        <w:right w:val="none" w:sz="0" w:space="0" w:color="auto"/>
      </w:divBdr>
    </w:div>
    <w:div w:id="2085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rallocalplan.lancashire.gov.uk/media/1105/191017_central-lancs-housing-study_final-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7A2E3A-C20F-4C24-A82E-8EDB889CD23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534F-E5B2-4C7A-97B9-67B29409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Johndaniel.Jaques</dc:creator>
  <cp:lastModifiedBy>Lynch, Charlotte</cp:lastModifiedBy>
  <cp:revision>3</cp:revision>
  <cp:lastPrinted>2019-08-21T14:34:00Z</cp:lastPrinted>
  <dcterms:created xsi:type="dcterms:W3CDTF">2019-11-04T15:06:00Z</dcterms:created>
  <dcterms:modified xsi:type="dcterms:W3CDTF">2019-11-19T12:28:00Z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1789422697</vt:i4>
  </property>
  <property fmtid="{D5CDD505-2E9C-101B-9397-08002B2CF9AE}" pid="3" name="_NewReviewCycle">
    <vt:lpwstr/>
  </property>
  <property fmtid="{D5CDD505-2E9C-101B-9397-08002B2CF9AE}" pid="4" name="_AdHocReviewCycleID">
    <vt:i4>-1041951232</vt:i4>
  </property>
  <property fmtid="{D5CDD505-2E9C-101B-9397-08002B2CF9AE}" pid="5" name="_EmailSubject">
    <vt:lpwstr>MOU</vt:lpwstr>
  </property>
  <property fmtid="{D5CDD505-2E9C-101B-9397-08002B2CF9AE}" pid="6" name="_AuthorEmail">
    <vt:lpwstr>ch.blackburn@preston.gov.uk</vt:lpwstr>
  </property>
  <property fmtid="{D5CDD505-2E9C-101B-9397-08002B2CF9AE}" pid="7" name="_AuthorEmailDisplayName">
    <vt:lpwstr>Chris Blackburn</vt:lpwstr>
  </property>
  <property fmtid="{D5CDD505-2E9C-101B-9397-08002B2CF9AE}" pid="8" name="_ReviewingToolsShownOnce">
    <vt:lpwstr/>
  </property>
</Properties>
</file>